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0A" w:rsidRDefault="00BE2C85" w:rsidP="00C7570A">
      <w:pPr>
        <w:tabs>
          <w:tab w:val="left" w:pos="3300"/>
        </w:tabs>
      </w:pPr>
      <w:r>
        <w:rPr>
          <w:noProof/>
        </w:rPr>
        <w:pict>
          <v:rect id="_x0000_s1027" style="position:absolute;margin-left:117pt;margin-top:0;width:315pt;height:54pt;z-index:251658240" fillcolor="#007c85" stroked="f" strokecolor="#396" strokeweight=".25pt">
            <v:textbox style="mso-next-textbox:#_x0000_s1027">
              <w:txbxContent>
                <w:p w:rsidR="00246B03" w:rsidRDefault="00CD1902" w:rsidP="000D2BBD">
                  <w:pPr>
                    <w:pStyle w:val="PPHeading"/>
                  </w:pPr>
                  <w:r>
                    <w:t>ELECTRONIC GAM</w:t>
                  </w:r>
                  <w:r w:rsidR="00B90C22">
                    <w:t>ING MACHINE (EGM) GAM</w:t>
                  </w:r>
                  <w:r>
                    <w:t>BLING POLICY</w:t>
                  </w:r>
                </w:p>
                <w:p w:rsidR="00246B03" w:rsidRPr="00EC4C2C" w:rsidRDefault="00246B03" w:rsidP="000D2BBD">
                  <w:pPr>
                    <w:pStyle w:val="PPHeading"/>
                  </w:pPr>
                </w:p>
              </w:txbxContent>
            </v:textbox>
          </v:rect>
        </w:pict>
      </w:r>
      <w:r w:rsidR="00155A3D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714500" cy="685800"/>
            <wp:effectExtent l="19050" t="0" r="0" b="0"/>
            <wp:wrapNone/>
            <wp:docPr id="2" name="Picture 2" descr="YRC HOR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RC HOR 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85800"/>
                    </a:xfrm>
                    <a:prstGeom prst="rect">
                      <a:avLst/>
                    </a:prstGeom>
                    <a:noFill/>
                    <a:ln w="28575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570A" w:rsidRDefault="00C7570A" w:rsidP="00C7570A">
      <w:pPr>
        <w:tabs>
          <w:tab w:val="left" w:pos="3300"/>
        </w:tabs>
      </w:pPr>
    </w:p>
    <w:p w:rsidR="00C7570A" w:rsidRPr="00C7570A" w:rsidRDefault="00C7570A" w:rsidP="00C7570A">
      <w:pPr>
        <w:tabs>
          <w:tab w:val="left" w:pos="3300"/>
        </w:tabs>
      </w:pPr>
    </w:p>
    <w:p w:rsidR="00C7570A" w:rsidRPr="00C7570A" w:rsidRDefault="00C7570A" w:rsidP="00C7570A"/>
    <w:p w:rsidR="00C7570A" w:rsidRPr="00C7570A" w:rsidRDefault="00C7570A" w:rsidP="00C7570A"/>
    <w:p w:rsidR="00C7570A" w:rsidRPr="00C7570A" w:rsidRDefault="00C7570A" w:rsidP="00C7570A"/>
    <w:tbl>
      <w:tblPr>
        <w:tblStyle w:val="TableGrid"/>
        <w:tblW w:w="8582" w:type="dxa"/>
        <w:tblLook w:val="01E0"/>
      </w:tblPr>
      <w:tblGrid>
        <w:gridCol w:w="2448"/>
        <w:gridCol w:w="6134"/>
      </w:tblGrid>
      <w:tr w:rsidR="00933778" w:rsidRPr="00812259">
        <w:trPr>
          <w:trHeight w:val="416"/>
        </w:trPr>
        <w:tc>
          <w:tcPr>
            <w:tcW w:w="2448" w:type="dxa"/>
            <w:vAlign w:val="center"/>
          </w:tcPr>
          <w:p w:rsidR="00933778" w:rsidRPr="00812259" w:rsidRDefault="00933778" w:rsidP="00512091">
            <w:pPr>
              <w:pStyle w:val="PPTABLERIGHTCOLUMN"/>
            </w:pPr>
            <w:r w:rsidRPr="00812259">
              <w:t>EFFECTIVE DATE</w:t>
            </w:r>
          </w:p>
        </w:tc>
        <w:tc>
          <w:tcPr>
            <w:tcW w:w="6134" w:type="dxa"/>
            <w:vAlign w:val="center"/>
          </w:tcPr>
          <w:p w:rsidR="00933778" w:rsidRPr="00A05827" w:rsidRDefault="00F41AFB" w:rsidP="00A77E57">
            <w:pPr>
              <w:pStyle w:val="PPTABLERIGHTCOLUMN"/>
            </w:pPr>
            <w:r>
              <w:t xml:space="preserve">TBA </w:t>
            </w:r>
            <w:r w:rsidR="00A50BEA">
              <w:t xml:space="preserve"> 2013</w:t>
            </w:r>
          </w:p>
        </w:tc>
      </w:tr>
      <w:tr w:rsidR="00933778" w:rsidRPr="00812259">
        <w:trPr>
          <w:trHeight w:val="416"/>
        </w:trPr>
        <w:tc>
          <w:tcPr>
            <w:tcW w:w="2448" w:type="dxa"/>
            <w:vAlign w:val="center"/>
          </w:tcPr>
          <w:p w:rsidR="00933778" w:rsidRPr="00812259" w:rsidRDefault="00933778" w:rsidP="00512091">
            <w:pPr>
              <w:pStyle w:val="PPTABLERIGHTCOLUMN"/>
            </w:pPr>
            <w:r w:rsidRPr="00812259">
              <w:t>REVIEW DATE</w:t>
            </w:r>
          </w:p>
        </w:tc>
        <w:tc>
          <w:tcPr>
            <w:tcW w:w="6134" w:type="dxa"/>
            <w:vAlign w:val="center"/>
          </w:tcPr>
          <w:p w:rsidR="00933778" w:rsidRPr="00A05827" w:rsidRDefault="00F41AFB" w:rsidP="00B90C22">
            <w:pPr>
              <w:pStyle w:val="PPTABLERIGHTCOLUMN"/>
            </w:pPr>
            <w:r>
              <w:t xml:space="preserve">TBA </w:t>
            </w:r>
            <w:r w:rsidR="000D2BBD">
              <w:t xml:space="preserve"> 201</w:t>
            </w:r>
            <w:r w:rsidR="00B90C22">
              <w:t>7</w:t>
            </w:r>
          </w:p>
        </w:tc>
      </w:tr>
      <w:tr w:rsidR="00933778" w:rsidRPr="00812259">
        <w:trPr>
          <w:trHeight w:val="416"/>
        </w:trPr>
        <w:tc>
          <w:tcPr>
            <w:tcW w:w="2448" w:type="dxa"/>
            <w:vAlign w:val="center"/>
          </w:tcPr>
          <w:p w:rsidR="00933778" w:rsidRPr="00812259" w:rsidRDefault="00933778" w:rsidP="00512091">
            <w:pPr>
              <w:pStyle w:val="PPTABLERIGHTCOLUMN"/>
            </w:pPr>
            <w:r w:rsidRPr="00812259">
              <w:t>AUTHOR</w:t>
            </w:r>
            <w:r w:rsidR="00F41AFB">
              <w:t>S</w:t>
            </w:r>
          </w:p>
        </w:tc>
        <w:tc>
          <w:tcPr>
            <w:tcW w:w="6134" w:type="dxa"/>
            <w:vAlign w:val="center"/>
          </w:tcPr>
          <w:p w:rsidR="00933778" w:rsidRPr="00A05827" w:rsidRDefault="002F74B4" w:rsidP="00A05827">
            <w:pPr>
              <w:pStyle w:val="PPTABLERIGHTCOLUMN"/>
            </w:pPr>
            <w:r>
              <w:t xml:space="preserve">Ali Wastie and </w:t>
            </w:r>
            <w:r w:rsidR="00F879CB">
              <w:t>Isha Scott</w:t>
            </w:r>
          </w:p>
        </w:tc>
      </w:tr>
      <w:tr w:rsidR="00933778" w:rsidRPr="00812259">
        <w:trPr>
          <w:trHeight w:val="439"/>
        </w:trPr>
        <w:tc>
          <w:tcPr>
            <w:tcW w:w="2448" w:type="dxa"/>
            <w:vAlign w:val="center"/>
          </w:tcPr>
          <w:p w:rsidR="00933778" w:rsidRPr="00812259" w:rsidRDefault="00933778" w:rsidP="00512091">
            <w:pPr>
              <w:pStyle w:val="PPTABLERIGHTCOLUMN"/>
            </w:pPr>
            <w:r w:rsidRPr="00812259">
              <w:t>DIRECTORATE</w:t>
            </w:r>
          </w:p>
        </w:tc>
        <w:tc>
          <w:tcPr>
            <w:tcW w:w="6134" w:type="dxa"/>
            <w:vAlign w:val="center"/>
          </w:tcPr>
          <w:p w:rsidR="00933778" w:rsidRPr="00A05827" w:rsidRDefault="00F879CB" w:rsidP="00A05827">
            <w:pPr>
              <w:pStyle w:val="PPTABLERIGHTCOLUMN"/>
            </w:pPr>
            <w:r>
              <w:t>Social and Economic Development</w:t>
            </w:r>
          </w:p>
        </w:tc>
      </w:tr>
    </w:tbl>
    <w:p w:rsidR="00C7570A" w:rsidRPr="00812259" w:rsidRDefault="00C7570A" w:rsidP="00C7570A">
      <w:pPr>
        <w:rPr>
          <w:rFonts w:ascii="Arial" w:hAnsi="Arial" w:cs="Arial"/>
        </w:rPr>
      </w:pPr>
    </w:p>
    <w:p w:rsidR="00C7570A" w:rsidRPr="001957C3" w:rsidRDefault="00C7570A" w:rsidP="000768CD">
      <w:pPr>
        <w:pStyle w:val="PPHEADING1INTRO"/>
      </w:pPr>
      <w:r w:rsidRPr="001957C3">
        <w:t xml:space="preserve">1. </w:t>
      </w:r>
      <w:r w:rsidRPr="00284A99">
        <w:t>INTRODUCTION</w:t>
      </w:r>
    </w:p>
    <w:p w:rsidR="00BD25FA" w:rsidRDefault="00BD25FA" w:rsidP="00BD25FA">
      <w:pPr>
        <w:pStyle w:val="PPNORMAL"/>
        <w:ind w:left="0"/>
      </w:pPr>
    </w:p>
    <w:p w:rsidR="00DC3CFC" w:rsidRDefault="00A77E57" w:rsidP="00B36580">
      <w:pPr>
        <w:pStyle w:val="PPNORMAL"/>
        <w:ind w:left="0"/>
        <w:jc w:val="both"/>
      </w:pPr>
      <w:r>
        <w:t>This</w:t>
      </w:r>
      <w:r w:rsidR="00CD7CFE">
        <w:t xml:space="preserve"> P</w:t>
      </w:r>
      <w:r w:rsidR="00F879CB">
        <w:t xml:space="preserve">olicy outlines Council’s position </w:t>
      </w:r>
      <w:r w:rsidR="00CF7819">
        <w:t>on</w:t>
      </w:r>
      <w:r w:rsidR="00F879CB">
        <w:t xml:space="preserve"> Electronic Gaming Machine</w:t>
      </w:r>
      <w:r w:rsidR="007B11B5">
        <w:t xml:space="preserve"> </w:t>
      </w:r>
      <w:r w:rsidR="005C207C">
        <w:t xml:space="preserve">(EGM) </w:t>
      </w:r>
      <w:r w:rsidR="00F879CB">
        <w:t>gam</w:t>
      </w:r>
      <w:r w:rsidR="000D2BBD">
        <w:t>bling</w:t>
      </w:r>
      <w:r w:rsidR="00DC3CFC">
        <w:t xml:space="preserve"> within the municipality</w:t>
      </w:r>
      <w:r w:rsidR="00F27E26">
        <w:t xml:space="preserve">. </w:t>
      </w:r>
      <w:r w:rsidR="00BD25FA">
        <w:t xml:space="preserve"> The Policy does not address other forms of gambling (eg</w:t>
      </w:r>
      <w:r w:rsidR="002F74B4">
        <w:t>.</w:t>
      </w:r>
      <w:r w:rsidR="00BD25FA">
        <w:t xml:space="preserve"> sport</w:t>
      </w:r>
      <w:r w:rsidR="00A50BEA">
        <w:t>s</w:t>
      </w:r>
      <w:r w:rsidR="00BD25FA">
        <w:t xml:space="preserve"> betting</w:t>
      </w:r>
      <w:r w:rsidR="00203896">
        <w:t xml:space="preserve"> or TAB</w:t>
      </w:r>
      <w:r w:rsidR="00BD25FA">
        <w:t>) over which Council has no dedicated planning control or avenue to comment</w:t>
      </w:r>
      <w:r w:rsidR="00B36580">
        <w:t>,</w:t>
      </w:r>
      <w:r w:rsidR="00BD25FA">
        <w:t xml:space="preserve"> other than</w:t>
      </w:r>
      <w:r w:rsidR="002F74B4">
        <w:t xml:space="preserve"> </w:t>
      </w:r>
      <w:r w:rsidR="00C406AC">
        <w:t xml:space="preserve">through </w:t>
      </w:r>
      <w:r w:rsidR="00DC3CFC">
        <w:t>advocacy</w:t>
      </w:r>
      <w:r w:rsidR="00CD1902">
        <w:t>.</w:t>
      </w:r>
    </w:p>
    <w:p w:rsidR="00BD25FA" w:rsidRDefault="00BD25FA" w:rsidP="00B36580">
      <w:pPr>
        <w:pStyle w:val="PPNORMAL"/>
        <w:ind w:left="0"/>
        <w:jc w:val="both"/>
      </w:pPr>
    </w:p>
    <w:p w:rsidR="00C7570A" w:rsidRDefault="00F27E26" w:rsidP="00B36580">
      <w:pPr>
        <w:pStyle w:val="PPNORMAL"/>
        <w:ind w:left="0"/>
        <w:jc w:val="both"/>
      </w:pPr>
      <w:r>
        <w:t>The Policy reflects Council’s</w:t>
      </w:r>
      <w:r w:rsidR="00F879CB">
        <w:t xml:space="preserve"> legislative </w:t>
      </w:r>
      <w:r>
        <w:t xml:space="preserve">and regulatory </w:t>
      </w:r>
      <w:r w:rsidR="00F879CB">
        <w:t>responsibilities under the Local Government Act</w:t>
      </w:r>
      <w:r w:rsidR="007B11B5">
        <w:t xml:space="preserve"> 1989</w:t>
      </w:r>
      <w:r w:rsidR="005C207C">
        <w:t>,</w:t>
      </w:r>
      <w:r w:rsidR="00F879CB">
        <w:t xml:space="preserve"> the Public </w:t>
      </w:r>
      <w:r w:rsidR="00830B72">
        <w:t>H</w:t>
      </w:r>
      <w:r w:rsidR="00F879CB">
        <w:t xml:space="preserve">ealth and </w:t>
      </w:r>
      <w:r w:rsidR="00830B72">
        <w:t>W</w:t>
      </w:r>
      <w:r w:rsidR="00F879CB">
        <w:t xml:space="preserve">ellbeing </w:t>
      </w:r>
      <w:r w:rsidR="00830B72">
        <w:t>A</w:t>
      </w:r>
      <w:r w:rsidR="00F879CB">
        <w:t>ct 2008</w:t>
      </w:r>
      <w:r w:rsidR="005C207C">
        <w:t xml:space="preserve"> and the Gambling Regulation Act 2003</w:t>
      </w:r>
      <w:r w:rsidR="00F879CB">
        <w:t>.</w:t>
      </w:r>
    </w:p>
    <w:p w:rsidR="00024F66" w:rsidRDefault="00024F66" w:rsidP="00B36580">
      <w:pPr>
        <w:pStyle w:val="PPNORMAL"/>
        <w:ind w:left="0"/>
        <w:jc w:val="both"/>
      </w:pPr>
    </w:p>
    <w:p w:rsidR="00DC3CFC" w:rsidRDefault="00DC3CFC" w:rsidP="00B36580">
      <w:pPr>
        <w:pStyle w:val="PPNORMAL"/>
        <w:ind w:left="0"/>
        <w:jc w:val="both"/>
      </w:pPr>
      <w:r>
        <w:t>Council will have regard to this Policy when</w:t>
      </w:r>
      <w:r w:rsidR="00B90C22">
        <w:t xml:space="preserve"> making a submission to the Victorian Commission for Gambling and Liquor Regulation (VCGLR) on</w:t>
      </w:r>
      <w:r>
        <w:t>:</w:t>
      </w:r>
    </w:p>
    <w:p w:rsidR="00DC3CFC" w:rsidRDefault="00DC3CFC" w:rsidP="00B36580">
      <w:pPr>
        <w:pStyle w:val="PPNORMAL"/>
        <w:ind w:left="0"/>
        <w:jc w:val="both"/>
      </w:pPr>
    </w:p>
    <w:p w:rsidR="00DC3CFC" w:rsidRDefault="00DC3CFC" w:rsidP="00B36580">
      <w:pPr>
        <w:pStyle w:val="PPNORMAL"/>
        <w:numPr>
          <w:ilvl w:val="0"/>
          <w:numId w:val="28"/>
        </w:numPr>
        <w:jc w:val="both"/>
      </w:pPr>
      <w:r>
        <w:t>an application for approval of a premises as suitable for gam</w:t>
      </w:r>
      <w:r w:rsidR="00CD1902">
        <w:t>bl</w:t>
      </w:r>
      <w:r>
        <w:t>ing under section 3.3.6 of the Gambling Regulation Act 203 (Gambling Act) and</w:t>
      </w:r>
      <w:r w:rsidR="0001154B">
        <w:t>;</w:t>
      </w:r>
    </w:p>
    <w:p w:rsidR="0001154B" w:rsidRDefault="0001154B" w:rsidP="00B36580">
      <w:pPr>
        <w:pStyle w:val="PPNORMAL"/>
        <w:ind w:left="0"/>
        <w:jc w:val="both"/>
      </w:pPr>
    </w:p>
    <w:p w:rsidR="00DC3CFC" w:rsidRDefault="00DC3CFC" w:rsidP="00B36580">
      <w:pPr>
        <w:pStyle w:val="PPNORMAL"/>
        <w:numPr>
          <w:ilvl w:val="0"/>
          <w:numId w:val="28"/>
        </w:numPr>
        <w:jc w:val="both"/>
      </w:pPr>
      <w:r>
        <w:t>a request for an amendment of conditions of a venue operator’s licence under section 3.4.19 of the Gambling Act</w:t>
      </w:r>
      <w:r w:rsidR="00CD1902">
        <w:t>.</w:t>
      </w:r>
    </w:p>
    <w:p w:rsidR="006669AA" w:rsidRDefault="006669AA" w:rsidP="00C7570A">
      <w:pPr>
        <w:rPr>
          <w:rFonts w:ascii="Arial" w:hAnsi="Arial" w:cs="Arial"/>
        </w:rPr>
      </w:pPr>
    </w:p>
    <w:p w:rsidR="00EC4C2C" w:rsidRPr="000768CD" w:rsidRDefault="00EC4C2C" w:rsidP="00940C0B">
      <w:pPr>
        <w:pStyle w:val="PPHEADING2"/>
      </w:pPr>
      <w:r w:rsidRPr="001957C3">
        <w:t xml:space="preserve">2. </w:t>
      </w:r>
      <w:r w:rsidRPr="00A05827">
        <w:t>SCOPE</w:t>
      </w:r>
    </w:p>
    <w:p w:rsidR="00EC4C2C" w:rsidRPr="00812259" w:rsidRDefault="00EC4C2C" w:rsidP="00512091">
      <w:pPr>
        <w:pStyle w:val="PPTABLERIGHTCOLUMN"/>
      </w:pPr>
    </w:p>
    <w:p w:rsidR="00F956A2" w:rsidRDefault="00352BB7" w:rsidP="00B36580">
      <w:pPr>
        <w:pStyle w:val="PPNORMAL"/>
        <w:ind w:left="0"/>
        <w:jc w:val="both"/>
      </w:pPr>
      <w:r>
        <w:t xml:space="preserve">The </w:t>
      </w:r>
      <w:r w:rsidR="00CD1902">
        <w:t>P</w:t>
      </w:r>
      <w:r>
        <w:t xml:space="preserve">olicy </w:t>
      </w:r>
      <w:r w:rsidR="009F6243">
        <w:t>defines</w:t>
      </w:r>
      <w:r>
        <w:t xml:space="preserve"> </w:t>
      </w:r>
      <w:r w:rsidR="000368DE">
        <w:t>Council’s role to assess</w:t>
      </w:r>
      <w:r w:rsidR="005717F5" w:rsidRPr="00195591">
        <w:t xml:space="preserve"> the </w:t>
      </w:r>
      <w:r w:rsidR="00D94ECC">
        <w:t xml:space="preserve">social and economic impacts of </w:t>
      </w:r>
      <w:r w:rsidR="009F6243">
        <w:t>EGMs</w:t>
      </w:r>
      <w:r w:rsidR="00F956A2" w:rsidRPr="00195591">
        <w:t>. It does not address the statutory planning functions of the Council</w:t>
      </w:r>
      <w:r w:rsidR="002F74B4">
        <w:t>,</w:t>
      </w:r>
      <w:r w:rsidR="00F956A2" w:rsidRPr="00195591">
        <w:t xml:space="preserve"> which are </w:t>
      </w:r>
      <w:r w:rsidR="001F0E63" w:rsidRPr="00195591">
        <w:t>addre</w:t>
      </w:r>
      <w:r w:rsidR="00F956A2" w:rsidRPr="00195591">
        <w:t>ssed</w:t>
      </w:r>
      <w:r w:rsidR="006669AA">
        <w:t xml:space="preserve"> in</w:t>
      </w:r>
      <w:r w:rsidR="00F956A2" w:rsidRPr="00195591">
        <w:t xml:space="preserve"> the </w:t>
      </w:r>
      <w:r w:rsidR="00D94ECC">
        <w:t xml:space="preserve">Yarra Ranges </w:t>
      </w:r>
      <w:r w:rsidR="00F956A2" w:rsidRPr="00195591">
        <w:t>Planning Scheme</w:t>
      </w:r>
      <w:r w:rsidR="006669AA">
        <w:t xml:space="preserve"> at Clause 22.8</w:t>
      </w:r>
      <w:r w:rsidR="0001154B">
        <w:t>.</w:t>
      </w:r>
    </w:p>
    <w:p w:rsidR="00CD1902" w:rsidRPr="00195591" w:rsidRDefault="00CD1902" w:rsidP="00B36580">
      <w:pPr>
        <w:pStyle w:val="PPNORMAL"/>
        <w:ind w:left="0"/>
        <w:jc w:val="both"/>
      </w:pPr>
    </w:p>
    <w:p w:rsidR="00F956A2" w:rsidRPr="00195591" w:rsidRDefault="00F27539" w:rsidP="002F74B4">
      <w:pPr>
        <w:pStyle w:val="PPNORMAL"/>
        <w:ind w:left="0"/>
        <w:jc w:val="both"/>
      </w:pPr>
      <w:r>
        <w:t>The P</w:t>
      </w:r>
      <w:r w:rsidR="00271131" w:rsidRPr="00195591">
        <w:t>olicy</w:t>
      </w:r>
      <w:r w:rsidR="00F956A2" w:rsidRPr="00195591">
        <w:t xml:space="preserve"> ident</w:t>
      </w:r>
      <w:r w:rsidR="00271131" w:rsidRPr="00195591">
        <w:t>ifies</w:t>
      </w:r>
      <w:r w:rsidR="00F956A2" w:rsidRPr="00195591">
        <w:t xml:space="preserve"> </w:t>
      </w:r>
      <w:r w:rsidR="006669AA">
        <w:t xml:space="preserve">the </w:t>
      </w:r>
      <w:r w:rsidR="00F956A2" w:rsidRPr="00195591">
        <w:t>potential</w:t>
      </w:r>
      <w:r w:rsidR="006669AA">
        <w:t xml:space="preserve"> for</w:t>
      </w:r>
      <w:r w:rsidR="00F956A2" w:rsidRPr="00195591">
        <w:t xml:space="preserve"> </w:t>
      </w:r>
      <w:r w:rsidR="006D62DB">
        <w:t xml:space="preserve">harmful </w:t>
      </w:r>
      <w:r w:rsidR="00912160">
        <w:t xml:space="preserve">impacts to </w:t>
      </w:r>
      <w:r w:rsidR="00F956A2" w:rsidRPr="00195591">
        <w:t>health and wellb</w:t>
      </w:r>
      <w:r w:rsidR="00B90363">
        <w:t xml:space="preserve">eing </w:t>
      </w:r>
      <w:r w:rsidR="00912160">
        <w:t>from</w:t>
      </w:r>
      <w:r w:rsidR="00B90363">
        <w:t xml:space="preserve"> </w:t>
      </w:r>
      <w:r w:rsidR="006669AA">
        <w:t>EGM</w:t>
      </w:r>
      <w:r w:rsidR="00B90363">
        <w:t xml:space="preserve"> gambling </w:t>
      </w:r>
      <w:r w:rsidR="00F956A2" w:rsidRPr="00195591">
        <w:t>and</w:t>
      </w:r>
      <w:r w:rsidR="00195591">
        <w:t xml:space="preserve"> </w:t>
      </w:r>
      <w:r w:rsidR="00F956A2" w:rsidRPr="00195591">
        <w:t>Council</w:t>
      </w:r>
      <w:r w:rsidR="006669AA">
        <w:t>’s</w:t>
      </w:r>
      <w:r w:rsidR="00195591">
        <w:t xml:space="preserve"> </w:t>
      </w:r>
      <w:r w:rsidR="006669AA">
        <w:t xml:space="preserve">legislative </w:t>
      </w:r>
      <w:r w:rsidR="00912160">
        <w:t>role to protect</w:t>
      </w:r>
      <w:r w:rsidR="00F956A2" w:rsidRPr="00195591">
        <w:t xml:space="preserve"> </w:t>
      </w:r>
      <w:r w:rsidR="006669AA">
        <w:t>the health and wellbeing of its community</w:t>
      </w:r>
      <w:r w:rsidR="00F956A2" w:rsidRPr="00195591">
        <w:t xml:space="preserve">. The </w:t>
      </w:r>
      <w:r w:rsidR="0001154B">
        <w:t>P</w:t>
      </w:r>
      <w:r w:rsidR="00F956A2" w:rsidRPr="00195591">
        <w:t xml:space="preserve">olicy </w:t>
      </w:r>
      <w:r w:rsidR="005717F5" w:rsidRPr="00195591">
        <w:t>is informed by evidence of</w:t>
      </w:r>
      <w:r w:rsidR="00F956A2" w:rsidRPr="00195591">
        <w:t xml:space="preserve"> specific vulnerabilities</w:t>
      </w:r>
      <w:r w:rsidR="00B90363">
        <w:t xml:space="preserve"> affecting the </w:t>
      </w:r>
      <w:r w:rsidR="00912160">
        <w:t>many</w:t>
      </w:r>
      <w:r w:rsidR="006D62DB">
        <w:t xml:space="preserve"> and</w:t>
      </w:r>
      <w:r w:rsidR="00912160">
        <w:t xml:space="preserve"> distinct communities of Yarra Ranges</w:t>
      </w:r>
      <w:r w:rsidR="00195591">
        <w:t xml:space="preserve"> (</w:t>
      </w:r>
      <w:r w:rsidR="00C771C4">
        <w:t>s</w:t>
      </w:r>
      <w:r w:rsidR="00BC3152">
        <w:t>ee Yarra Ranges Health Profile, local area planning profiles</w:t>
      </w:r>
      <w:r w:rsidR="00195591">
        <w:t xml:space="preserve">). It </w:t>
      </w:r>
      <w:r w:rsidR="005717F5" w:rsidRPr="00195591">
        <w:t xml:space="preserve">outlines </w:t>
      </w:r>
      <w:r w:rsidR="00F956A2" w:rsidRPr="00195591">
        <w:t>Council</w:t>
      </w:r>
      <w:r w:rsidR="006D62DB">
        <w:t>’s</w:t>
      </w:r>
      <w:r w:rsidR="00F956A2" w:rsidRPr="00195591">
        <w:t xml:space="preserve"> </w:t>
      </w:r>
      <w:r w:rsidR="006669AA">
        <w:t>role</w:t>
      </w:r>
      <w:r w:rsidR="00154B75">
        <w:t xml:space="preserve"> to</w:t>
      </w:r>
      <w:r w:rsidR="00F956A2" w:rsidRPr="00195591">
        <w:t xml:space="preserve"> </w:t>
      </w:r>
      <w:r w:rsidR="006623FC">
        <w:t>protect</w:t>
      </w:r>
      <w:r w:rsidR="00F956A2" w:rsidRPr="00195591">
        <w:t xml:space="preserve"> </w:t>
      </w:r>
      <w:r w:rsidR="006623FC">
        <w:t xml:space="preserve">vulnerable community members against </w:t>
      </w:r>
      <w:r w:rsidR="00154B75">
        <w:t>any detrimental</w:t>
      </w:r>
      <w:r w:rsidR="00F956A2" w:rsidRPr="00195591">
        <w:t xml:space="preserve"> impact</w:t>
      </w:r>
      <w:r w:rsidR="00154B75">
        <w:t>s</w:t>
      </w:r>
      <w:r w:rsidR="00F956A2" w:rsidRPr="00195591">
        <w:t xml:space="preserve"> of </w:t>
      </w:r>
      <w:r w:rsidR="006669AA">
        <w:t>EGM</w:t>
      </w:r>
      <w:r w:rsidR="00F956A2" w:rsidRPr="00195591">
        <w:t xml:space="preserve"> gambling</w:t>
      </w:r>
      <w:r w:rsidR="00154B75">
        <w:t>,</w:t>
      </w:r>
      <w:r w:rsidR="005717F5" w:rsidRPr="00195591">
        <w:t xml:space="preserve"> through a health and wellbeing approach</w:t>
      </w:r>
      <w:r w:rsidR="00F956A2" w:rsidRPr="00195591">
        <w:t>.</w:t>
      </w:r>
    </w:p>
    <w:p w:rsidR="00A77E57" w:rsidRDefault="00A77E57" w:rsidP="002F74B4">
      <w:pPr>
        <w:pStyle w:val="PPNORMAL"/>
        <w:jc w:val="both"/>
        <w:sectPr w:rsidR="00A77E57" w:rsidSect="00A83F2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797" w:bottom="1440" w:left="1797" w:header="709" w:footer="709" w:gutter="0"/>
          <w:pgNumType w:start="1"/>
          <w:cols w:space="708"/>
          <w:titlePg/>
          <w:docGrid w:linePitch="360"/>
        </w:sectPr>
      </w:pPr>
    </w:p>
    <w:p w:rsidR="004C5172" w:rsidRPr="002F74B4" w:rsidRDefault="00F27539" w:rsidP="0091765C">
      <w:pPr>
        <w:pStyle w:val="PPNORMAL"/>
        <w:ind w:left="0"/>
        <w:jc w:val="both"/>
      </w:pPr>
      <w:r>
        <w:lastRenderedPageBreak/>
        <w:t>The P</w:t>
      </w:r>
      <w:r w:rsidR="004C5172">
        <w:t xml:space="preserve">olicy recognises that </w:t>
      </w:r>
      <w:r w:rsidR="004C5172" w:rsidRPr="004C5172">
        <w:t xml:space="preserve">the location of EGMs in Victoria is regulated by the </w:t>
      </w:r>
      <w:r w:rsidR="004C5172" w:rsidRPr="002F74B4">
        <w:t>Gambling Regulation Act (2003).</w:t>
      </w:r>
    </w:p>
    <w:p w:rsidR="002B4913" w:rsidRPr="00812259" w:rsidRDefault="002B4913" w:rsidP="0091765C">
      <w:pPr>
        <w:pStyle w:val="PPNORMAL"/>
        <w:ind w:left="0"/>
        <w:jc w:val="both"/>
      </w:pPr>
    </w:p>
    <w:p w:rsidR="004C5172" w:rsidRDefault="004C5172" w:rsidP="0091765C">
      <w:pPr>
        <w:jc w:val="both"/>
        <w:rPr>
          <w:rFonts w:ascii="Arial" w:hAnsi="Arial" w:cs="Arial"/>
          <w:b/>
          <w:smallCaps/>
          <w:sz w:val="22"/>
          <w:szCs w:val="22"/>
        </w:rPr>
      </w:pPr>
    </w:p>
    <w:p w:rsidR="00EC4C2C" w:rsidRPr="00812259" w:rsidRDefault="00CD1902" w:rsidP="0091765C">
      <w:pPr>
        <w:pStyle w:val="PPHEADING2"/>
        <w:jc w:val="both"/>
      </w:pPr>
      <w:r>
        <w:t>3</w:t>
      </w:r>
      <w:r w:rsidR="00EC4C2C" w:rsidRPr="00812259">
        <w:t xml:space="preserve">. </w:t>
      </w:r>
      <w:r w:rsidR="0029148B">
        <w:t xml:space="preserve">POLICY </w:t>
      </w:r>
      <w:r w:rsidR="00B36082">
        <w:t>STATEMENT</w:t>
      </w:r>
    </w:p>
    <w:p w:rsidR="00397FDE" w:rsidRPr="00397FDE" w:rsidRDefault="00397FDE" w:rsidP="0091765C">
      <w:pPr>
        <w:pStyle w:val="PPNORMAL"/>
        <w:jc w:val="both"/>
      </w:pPr>
    </w:p>
    <w:p w:rsidR="00EC4C2C" w:rsidRPr="0001154B" w:rsidRDefault="00EC4C2C" w:rsidP="0091765C">
      <w:pPr>
        <w:pStyle w:val="PPHEADING3"/>
        <w:jc w:val="both"/>
        <w:rPr>
          <w:sz w:val="24"/>
          <w:szCs w:val="24"/>
        </w:rPr>
      </w:pPr>
      <w:r w:rsidRPr="00BF3526">
        <w:t>4.1</w:t>
      </w:r>
      <w:r w:rsidR="00683383" w:rsidRPr="00BF3526">
        <w:tab/>
      </w:r>
      <w:r w:rsidR="00467181" w:rsidRPr="0001154B">
        <w:rPr>
          <w:sz w:val="24"/>
          <w:szCs w:val="24"/>
        </w:rPr>
        <w:t>Council acknowledges Electronic Gambling Machine (</w:t>
      </w:r>
      <w:r w:rsidR="003F5846" w:rsidRPr="0001154B">
        <w:rPr>
          <w:sz w:val="24"/>
          <w:szCs w:val="24"/>
        </w:rPr>
        <w:t>EGM</w:t>
      </w:r>
      <w:r w:rsidR="00467181" w:rsidRPr="0001154B">
        <w:rPr>
          <w:sz w:val="24"/>
          <w:szCs w:val="24"/>
        </w:rPr>
        <w:t>)</w:t>
      </w:r>
      <w:r w:rsidR="00B37A8D" w:rsidRPr="0001154B">
        <w:rPr>
          <w:sz w:val="24"/>
          <w:szCs w:val="24"/>
        </w:rPr>
        <w:t xml:space="preserve"> gambling is a legal recreational activity in Victoria.  </w:t>
      </w:r>
      <w:r w:rsidR="00CD1902" w:rsidRPr="0001154B">
        <w:rPr>
          <w:sz w:val="24"/>
          <w:szCs w:val="24"/>
        </w:rPr>
        <w:t xml:space="preserve">While the majority of people </w:t>
      </w:r>
      <w:r w:rsidR="00CD1902" w:rsidRPr="00635812">
        <w:rPr>
          <w:sz w:val="24"/>
          <w:szCs w:val="24"/>
        </w:rPr>
        <w:t xml:space="preserve">who partake in gambling do so without experiencing adverse effects, a small but significant number of people </w:t>
      </w:r>
      <w:r w:rsidR="009A248F" w:rsidRPr="00635812">
        <w:rPr>
          <w:sz w:val="24"/>
          <w:szCs w:val="24"/>
        </w:rPr>
        <w:t>experience harms from gambling</w:t>
      </w:r>
      <w:r w:rsidR="00CD1902" w:rsidRPr="00635812">
        <w:rPr>
          <w:sz w:val="24"/>
          <w:szCs w:val="24"/>
        </w:rPr>
        <w:t xml:space="preserve"> and </w:t>
      </w:r>
      <w:r w:rsidR="00E813A5" w:rsidRPr="00635812">
        <w:rPr>
          <w:sz w:val="24"/>
          <w:szCs w:val="24"/>
        </w:rPr>
        <w:t xml:space="preserve">also </w:t>
      </w:r>
      <w:r w:rsidR="00CD1902" w:rsidRPr="00635812">
        <w:rPr>
          <w:sz w:val="24"/>
          <w:szCs w:val="24"/>
        </w:rPr>
        <w:t>experience a variety of personal, family and financial problems</w:t>
      </w:r>
      <w:r w:rsidR="00E813A5" w:rsidRPr="00635812">
        <w:rPr>
          <w:sz w:val="24"/>
          <w:szCs w:val="24"/>
        </w:rPr>
        <w:t xml:space="preserve"> as a result</w:t>
      </w:r>
      <w:r w:rsidR="00CD1902" w:rsidRPr="00635812">
        <w:rPr>
          <w:sz w:val="24"/>
          <w:szCs w:val="24"/>
        </w:rPr>
        <w:t xml:space="preserve">. </w:t>
      </w:r>
      <w:r w:rsidR="004531B7" w:rsidRPr="00635812">
        <w:rPr>
          <w:sz w:val="24"/>
          <w:szCs w:val="24"/>
        </w:rPr>
        <w:t xml:space="preserve">This </w:t>
      </w:r>
      <w:r w:rsidR="00E813A5" w:rsidRPr="00635812">
        <w:rPr>
          <w:sz w:val="24"/>
          <w:szCs w:val="24"/>
        </w:rPr>
        <w:t xml:space="preserve">also </w:t>
      </w:r>
      <w:r w:rsidR="004531B7" w:rsidRPr="00635812">
        <w:rPr>
          <w:sz w:val="24"/>
          <w:szCs w:val="24"/>
        </w:rPr>
        <w:t>affects</w:t>
      </w:r>
      <w:r w:rsidR="004531B7">
        <w:rPr>
          <w:sz w:val="24"/>
          <w:szCs w:val="24"/>
        </w:rPr>
        <w:t xml:space="preserve"> the broader community.</w:t>
      </w:r>
    </w:p>
    <w:p w:rsidR="00EC4C2C" w:rsidRPr="00A211E9" w:rsidRDefault="00EC4C2C" w:rsidP="0091765C">
      <w:pPr>
        <w:pStyle w:val="PPTABLERIGHTCOLUMN"/>
        <w:jc w:val="both"/>
        <w:rPr>
          <w:sz w:val="24"/>
          <w:szCs w:val="24"/>
        </w:rPr>
      </w:pPr>
    </w:p>
    <w:p w:rsidR="00F27539" w:rsidRDefault="00EC4C2C" w:rsidP="0091765C">
      <w:pPr>
        <w:ind w:left="720" w:hanging="720"/>
        <w:jc w:val="both"/>
        <w:rPr>
          <w:rFonts w:ascii="Arial" w:hAnsi="Arial" w:cs="Arial"/>
        </w:rPr>
      </w:pPr>
      <w:r w:rsidRPr="00A211E9">
        <w:rPr>
          <w:rFonts w:ascii="Arial" w:hAnsi="Arial" w:cs="Arial"/>
        </w:rPr>
        <w:t xml:space="preserve">4.2 </w:t>
      </w:r>
      <w:r w:rsidR="00683383" w:rsidRPr="00A211E9">
        <w:rPr>
          <w:rFonts w:ascii="Arial" w:hAnsi="Arial" w:cs="Arial"/>
        </w:rPr>
        <w:tab/>
      </w:r>
      <w:r w:rsidR="00B37A8D" w:rsidRPr="00A211E9">
        <w:rPr>
          <w:rFonts w:ascii="Arial" w:hAnsi="Arial" w:cs="Arial"/>
        </w:rPr>
        <w:t>Council takes a precautionary approach to the impa</w:t>
      </w:r>
      <w:r w:rsidR="00A211E9">
        <w:rPr>
          <w:rFonts w:ascii="Arial" w:hAnsi="Arial" w:cs="Arial"/>
        </w:rPr>
        <w:t xml:space="preserve">ct of decisions in relation to </w:t>
      </w:r>
      <w:r w:rsidR="003F5846">
        <w:rPr>
          <w:rFonts w:ascii="Arial" w:hAnsi="Arial" w:cs="Arial"/>
        </w:rPr>
        <w:t>EGM</w:t>
      </w:r>
      <w:r w:rsidR="00B37A8D" w:rsidRPr="00A211E9">
        <w:rPr>
          <w:rFonts w:ascii="Arial" w:hAnsi="Arial" w:cs="Arial"/>
        </w:rPr>
        <w:t xml:space="preserve">s. This </w:t>
      </w:r>
      <w:r w:rsidR="00A211E9" w:rsidRPr="00A211E9">
        <w:rPr>
          <w:rFonts w:ascii="Arial" w:hAnsi="Arial" w:cs="Arial"/>
        </w:rPr>
        <w:t>principle implies that there is a social responsibility to protect the public from exposure to harm, when scientific investigation has found a plausible risk.</w:t>
      </w:r>
      <w:r w:rsidR="00B37A8D" w:rsidRPr="00BF3526">
        <w:t xml:space="preserve"> </w:t>
      </w:r>
      <w:r w:rsidR="00A211E9">
        <w:rPr>
          <w:rFonts w:ascii="Arial" w:hAnsi="Arial" w:cs="Arial"/>
        </w:rPr>
        <w:t xml:space="preserve">In assessing the potential for detrimental </w:t>
      </w:r>
      <w:r w:rsidR="00F27539">
        <w:rPr>
          <w:rFonts w:ascii="Arial" w:hAnsi="Arial" w:cs="Arial"/>
        </w:rPr>
        <w:t xml:space="preserve">impacts </w:t>
      </w:r>
      <w:r w:rsidR="00F27539" w:rsidRPr="00A211E9">
        <w:rPr>
          <w:rFonts w:ascii="Arial" w:hAnsi="Arial" w:cs="Arial"/>
        </w:rPr>
        <w:t>Council</w:t>
      </w:r>
      <w:r w:rsidR="00B37A8D" w:rsidRPr="00A211E9">
        <w:rPr>
          <w:rFonts w:ascii="Arial" w:hAnsi="Arial" w:cs="Arial"/>
        </w:rPr>
        <w:t xml:space="preserve"> will</w:t>
      </w:r>
      <w:r w:rsidR="000854DB" w:rsidRPr="00A211E9">
        <w:rPr>
          <w:rFonts w:ascii="Arial" w:hAnsi="Arial" w:cs="Arial"/>
        </w:rPr>
        <w:t>:</w:t>
      </w:r>
    </w:p>
    <w:p w:rsidR="00F27539" w:rsidRDefault="00F27539" w:rsidP="0091765C">
      <w:pPr>
        <w:ind w:left="720" w:hanging="720"/>
        <w:jc w:val="both"/>
        <w:rPr>
          <w:rFonts w:ascii="Arial" w:hAnsi="Arial" w:cs="Arial"/>
        </w:rPr>
      </w:pPr>
    </w:p>
    <w:p w:rsidR="007E4715" w:rsidRDefault="00B37A8D" w:rsidP="0091765C">
      <w:pPr>
        <w:pStyle w:val="ListParagraph"/>
        <w:numPr>
          <w:ilvl w:val="0"/>
          <w:numId w:val="26"/>
        </w:numPr>
        <w:ind w:left="1080"/>
        <w:jc w:val="both"/>
        <w:rPr>
          <w:rFonts w:ascii="Arial" w:hAnsi="Arial" w:cs="Arial"/>
        </w:rPr>
      </w:pPr>
      <w:r w:rsidRPr="00F27539">
        <w:rPr>
          <w:rFonts w:ascii="Arial" w:hAnsi="Arial" w:cs="Arial"/>
        </w:rPr>
        <w:t>Assess</w:t>
      </w:r>
      <w:r w:rsidR="002F74B4">
        <w:rPr>
          <w:rFonts w:ascii="Arial" w:hAnsi="Arial" w:cs="Arial"/>
        </w:rPr>
        <w:t>,</w:t>
      </w:r>
      <w:r w:rsidR="0068430E" w:rsidRPr="00F27539">
        <w:rPr>
          <w:rFonts w:ascii="Arial" w:hAnsi="Arial" w:cs="Arial"/>
        </w:rPr>
        <w:t xml:space="preserve"> on merit, </w:t>
      </w:r>
      <w:r w:rsidRPr="00F27539">
        <w:rPr>
          <w:rFonts w:ascii="Arial" w:hAnsi="Arial" w:cs="Arial"/>
        </w:rPr>
        <w:t xml:space="preserve">the </w:t>
      </w:r>
      <w:r w:rsidR="00610A69" w:rsidRPr="00F27539">
        <w:rPr>
          <w:rFonts w:ascii="Arial" w:hAnsi="Arial" w:cs="Arial"/>
        </w:rPr>
        <w:t xml:space="preserve">net </w:t>
      </w:r>
      <w:r w:rsidRPr="00F27539">
        <w:rPr>
          <w:rFonts w:ascii="Arial" w:hAnsi="Arial" w:cs="Arial"/>
        </w:rPr>
        <w:t>social and economic impacts of appl</w:t>
      </w:r>
      <w:r w:rsidR="0093534A" w:rsidRPr="00F27539">
        <w:rPr>
          <w:rFonts w:ascii="Arial" w:hAnsi="Arial" w:cs="Arial"/>
        </w:rPr>
        <w:t xml:space="preserve">ications for new or additional </w:t>
      </w:r>
      <w:r w:rsidR="003F5846" w:rsidRPr="00F27539">
        <w:rPr>
          <w:rFonts w:ascii="Arial" w:hAnsi="Arial" w:cs="Arial"/>
        </w:rPr>
        <w:t>EGMs</w:t>
      </w:r>
      <w:r w:rsidRPr="00F27539">
        <w:rPr>
          <w:rFonts w:ascii="Arial" w:hAnsi="Arial" w:cs="Arial"/>
        </w:rPr>
        <w:t xml:space="preserve"> in the municipality</w:t>
      </w:r>
      <w:r w:rsidR="00610A69" w:rsidRPr="00F27539">
        <w:rPr>
          <w:rFonts w:ascii="Arial" w:hAnsi="Arial" w:cs="Arial"/>
        </w:rPr>
        <w:t xml:space="preserve"> to ensure they are not detrimental to the health and wellbeing of the community</w:t>
      </w:r>
      <w:r w:rsidR="007E4715">
        <w:rPr>
          <w:rFonts w:ascii="Arial" w:hAnsi="Arial" w:cs="Arial"/>
        </w:rPr>
        <w:t>. This assessment may include a community survey.</w:t>
      </w:r>
    </w:p>
    <w:p w:rsidR="001C66EC" w:rsidRPr="00F27539" w:rsidRDefault="001C66EC" w:rsidP="0091765C">
      <w:pPr>
        <w:pStyle w:val="PPHEADING3"/>
        <w:ind w:left="1080"/>
        <w:jc w:val="both"/>
        <w:rPr>
          <w:sz w:val="24"/>
          <w:szCs w:val="24"/>
        </w:rPr>
      </w:pPr>
    </w:p>
    <w:p w:rsidR="00B37A8D" w:rsidRPr="00F27539" w:rsidRDefault="00467181" w:rsidP="0091765C">
      <w:pPr>
        <w:pStyle w:val="PPHEADING3"/>
        <w:numPr>
          <w:ilvl w:val="0"/>
          <w:numId w:val="26"/>
        </w:numPr>
        <w:ind w:left="1080"/>
        <w:jc w:val="both"/>
        <w:rPr>
          <w:sz w:val="24"/>
          <w:szCs w:val="24"/>
        </w:rPr>
      </w:pPr>
      <w:r w:rsidRPr="00F27539">
        <w:rPr>
          <w:sz w:val="24"/>
          <w:szCs w:val="24"/>
        </w:rPr>
        <w:t>U</w:t>
      </w:r>
      <w:r w:rsidR="00B37A8D" w:rsidRPr="00F27539">
        <w:rPr>
          <w:sz w:val="24"/>
          <w:szCs w:val="24"/>
        </w:rPr>
        <w:t>nderstand the evidence</w:t>
      </w:r>
      <w:r w:rsidR="00610A69" w:rsidRPr="00F27539">
        <w:rPr>
          <w:sz w:val="24"/>
          <w:szCs w:val="24"/>
        </w:rPr>
        <w:t xml:space="preserve"> </w:t>
      </w:r>
      <w:r w:rsidR="000218D6">
        <w:rPr>
          <w:sz w:val="24"/>
          <w:szCs w:val="24"/>
        </w:rPr>
        <w:t xml:space="preserve">and research </w:t>
      </w:r>
      <w:r w:rsidR="00B37A8D" w:rsidRPr="00F27539">
        <w:rPr>
          <w:sz w:val="24"/>
          <w:szCs w:val="24"/>
        </w:rPr>
        <w:t xml:space="preserve">about the impact of </w:t>
      </w:r>
      <w:r w:rsidR="003F5846" w:rsidRPr="00F27539">
        <w:rPr>
          <w:sz w:val="24"/>
          <w:szCs w:val="24"/>
        </w:rPr>
        <w:t>EGMs</w:t>
      </w:r>
      <w:r w:rsidR="00B37A8D" w:rsidRPr="00F27539">
        <w:rPr>
          <w:sz w:val="24"/>
          <w:szCs w:val="24"/>
        </w:rPr>
        <w:t xml:space="preserve"> on community health and wellbeing</w:t>
      </w:r>
      <w:r w:rsidR="007E4715">
        <w:rPr>
          <w:sz w:val="24"/>
          <w:szCs w:val="24"/>
        </w:rPr>
        <w:t>.</w:t>
      </w:r>
    </w:p>
    <w:p w:rsidR="001C66EC" w:rsidRPr="00F27539" w:rsidRDefault="001C66EC" w:rsidP="0091765C">
      <w:pPr>
        <w:pStyle w:val="ListParagraph"/>
        <w:ind w:left="1080"/>
        <w:jc w:val="both"/>
        <w:rPr>
          <w:rFonts w:ascii="Arial" w:hAnsi="Arial" w:cs="Arial"/>
        </w:rPr>
      </w:pPr>
    </w:p>
    <w:p w:rsidR="00F5345C" w:rsidRPr="00F27539" w:rsidRDefault="000218D6" w:rsidP="0091765C">
      <w:pPr>
        <w:pStyle w:val="PPHEADING3"/>
        <w:numPr>
          <w:ilvl w:val="0"/>
          <w:numId w:val="26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66705A" w:rsidRPr="00F27539">
        <w:rPr>
          <w:sz w:val="24"/>
          <w:szCs w:val="24"/>
        </w:rPr>
        <w:t>dentify</w:t>
      </w:r>
      <w:r w:rsidR="00201B81" w:rsidRPr="00F27539">
        <w:rPr>
          <w:sz w:val="24"/>
          <w:szCs w:val="24"/>
        </w:rPr>
        <w:t xml:space="preserve"> any </w:t>
      </w:r>
      <w:r w:rsidR="00B37A8D" w:rsidRPr="00F27539">
        <w:rPr>
          <w:sz w:val="24"/>
          <w:szCs w:val="24"/>
        </w:rPr>
        <w:t xml:space="preserve">particular </w:t>
      </w:r>
      <w:r w:rsidR="007175FC" w:rsidRPr="00F27539">
        <w:rPr>
          <w:sz w:val="24"/>
          <w:szCs w:val="24"/>
        </w:rPr>
        <w:t>vulnerability</w:t>
      </w:r>
      <w:r w:rsidR="00B37A8D" w:rsidRPr="00F27539">
        <w:rPr>
          <w:sz w:val="24"/>
          <w:szCs w:val="24"/>
        </w:rPr>
        <w:t xml:space="preserve"> to </w:t>
      </w:r>
      <w:r w:rsidR="003F5846" w:rsidRPr="00F27539">
        <w:rPr>
          <w:sz w:val="24"/>
          <w:szCs w:val="24"/>
        </w:rPr>
        <w:t>EGM</w:t>
      </w:r>
      <w:r w:rsidR="00B37A8D" w:rsidRPr="00F27539">
        <w:rPr>
          <w:sz w:val="24"/>
          <w:szCs w:val="24"/>
        </w:rPr>
        <w:t xml:space="preserve"> gambling in the municipality</w:t>
      </w:r>
      <w:r>
        <w:rPr>
          <w:sz w:val="24"/>
          <w:szCs w:val="24"/>
        </w:rPr>
        <w:t>, informed by the evidence</w:t>
      </w:r>
      <w:r w:rsidR="007E4715">
        <w:rPr>
          <w:sz w:val="24"/>
          <w:szCs w:val="24"/>
        </w:rPr>
        <w:t>.</w:t>
      </w:r>
    </w:p>
    <w:p w:rsidR="001C66EC" w:rsidRPr="00F27539" w:rsidRDefault="001C66EC" w:rsidP="0091765C">
      <w:pPr>
        <w:pStyle w:val="PPHEADING3"/>
        <w:ind w:left="1080"/>
        <w:jc w:val="both"/>
        <w:rPr>
          <w:sz w:val="24"/>
          <w:szCs w:val="24"/>
        </w:rPr>
      </w:pPr>
    </w:p>
    <w:p w:rsidR="00467181" w:rsidRPr="00635812" w:rsidRDefault="0093534A" w:rsidP="0091765C">
      <w:pPr>
        <w:pStyle w:val="PPHEADING3"/>
        <w:numPr>
          <w:ilvl w:val="0"/>
          <w:numId w:val="26"/>
        </w:numPr>
        <w:ind w:left="1080"/>
        <w:jc w:val="both"/>
        <w:rPr>
          <w:sz w:val="24"/>
          <w:szCs w:val="24"/>
        </w:rPr>
      </w:pPr>
      <w:r w:rsidRPr="00635812">
        <w:rPr>
          <w:sz w:val="24"/>
          <w:szCs w:val="24"/>
        </w:rPr>
        <w:t>Subject to available resources, c</w:t>
      </w:r>
      <w:r w:rsidR="00467181" w:rsidRPr="00635812">
        <w:rPr>
          <w:sz w:val="24"/>
          <w:szCs w:val="24"/>
        </w:rPr>
        <w:t xml:space="preserve">onsider </w:t>
      </w:r>
      <w:r w:rsidR="009334A2" w:rsidRPr="00635812">
        <w:rPr>
          <w:sz w:val="24"/>
          <w:szCs w:val="24"/>
        </w:rPr>
        <w:t>partnering to support</w:t>
      </w:r>
      <w:r w:rsidR="005F230B" w:rsidRPr="00635812">
        <w:rPr>
          <w:sz w:val="24"/>
          <w:szCs w:val="24"/>
        </w:rPr>
        <w:t xml:space="preserve"> </w:t>
      </w:r>
      <w:r w:rsidR="00E813A5" w:rsidRPr="00635812">
        <w:rPr>
          <w:sz w:val="24"/>
          <w:szCs w:val="24"/>
        </w:rPr>
        <w:t xml:space="preserve">formal </w:t>
      </w:r>
      <w:r w:rsidR="00467181" w:rsidRPr="00635812">
        <w:rPr>
          <w:sz w:val="24"/>
          <w:szCs w:val="24"/>
        </w:rPr>
        <w:t xml:space="preserve">research </w:t>
      </w:r>
      <w:r w:rsidR="009334A2" w:rsidRPr="00635812">
        <w:rPr>
          <w:sz w:val="24"/>
          <w:szCs w:val="24"/>
        </w:rPr>
        <w:t xml:space="preserve">projects </w:t>
      </w:r>
      <w:r w:rsidR="00467181" w:rsidRPr="00635812">
        <w:rPr>
          <w:sz w:val="24"/>
          <w:szCs w:val="24"/>
        </w:rPr>
        <w:t xml:space="preserve">to better understand the health and wellbeing impacts of </w:t>
      </w:r>
      <w:r w:rsidR="003F5846" w:rsidRPr="00635812">
        <w:rPr>
          <w:sz w:val="24"/>
          <w:szCs w:val="24"/>
        </w:rPr>
        <w:t xml:space="preserve">EGMs </w:t>
      </w:r>
      <w:r w:rsidR="00467181" w:rsidRPr="00635812">
        <w:rPr>
          <w:sz w:val="24"/>
          <w:szCs w:val="24"/>
        </w:rPr>
        <w:t>on communities.</w:t>
      </w:r>
      <w:r w:rsidR="003F5846" w:rsidRPr="00635812">
        <w:rPr>
          <w:sz w:val="24"/>
          <w:szCs w:val="24"/>
        </w:rPr>
        <w:t xml:space="preserve"> This may be in partnership with peak bodies</w:t>
      </w:r>
      <w:r w:rsidR="009334A2" w:rsidRPr="00635812">
        <w:rPr>
          <w:sz w:val="24"/>
          <w:szCs w:val="24"/>
        </w:rPr>
        <w:t>, Universities</w:t>
      </w:r>
      <w:r w:rsidR="003F5846" w:rsidRPr="00635812">
        <w:rPr>
          <w:sz w:val="24"/>
          <w:szCs w:val="24"/>
        </w:rPr>
        <w:t xml:space="preserve"> and other local governments.</w:t>
      </w:r>
    </w:p>
    <w:p w:rsidR="00683383" w:rsidRPr="0001154B" w:rsidRDefault="00683383" w:rsidP="0091765C">
      <w:pPr>
        <w:pStyle w:val="PPHEADING3"/>
        <w:jc w:val="both"/>
        <w:rPr>
          <w:sz w:val="24"/>
          <w:szCs w:val="24"/>
        </w:rPr>
      </w:pPr>
    </w:p>
    <w:p w:rsidR="00683383" w:rsidRPr="0001154B" w:rsidRDefault="00683383" w:rsidP="0091765C">
      <w:pPr>
        <w:pStyle w:val="PPHEADING3"/>
        <w:jc w:val="both"/>
        <w:rPr>
          <w:sz w:val="24"/>
          <w:szCs w:val="24"/>
        </w:rPr>
      </w:pPr>
      <w:r w:rsidRPr="0001154B">
        <w:rPr>
          <w:sz w:val="24"/>
          <w:szCs w:val="24"/>
        </w:rPr>
        <w:t>4.</w:t>
      </w:r>
      <w:r w:rsidR="00F27539" w:rsidRPr="0001154B">
        <w:rPr>
          <w:sz w:val="24"/>
          <w:szCs w:val="24"/>
        </w:rPr>
        <w:t>3</w:t>
      </w:r>
      <w:r w:rsidRPr="0001154B">
        <w:rPr>
          <w:sz w:val="24"/>
          <w:szCs w:val="24"/>
        </w:rPr>
        <w:tab/>
        <w:t>Council will</w:t>
      </w:r>
      <w:r w:rsidR="00131A92" w:rsidRPr="0001154B">
        <w:rPr>
          <w:sz w:val="24"/>
          <w:szCs w:val="24"/>
        </w:rPr>
        <w:t>,</w:t>
      </w:r>
      <w:r w:rsidRPr="0001154B">
        <w:rPr>
          <w:sz w:val="24"/>
          <w:szCs w:val="24"/>
        </w:rPr>
        <w:t xml:space="preserve"> </w:t>
      </w:r>
      <w:r w:rsidR="000D2BBD" w:rsidRPr="0001154B">
        <w:rPr>
          <w:sz w:val="24"/>
          <w:szCs w:val="24"/>
        </w:rPr>
        <w:t>as part of</w:t>
      </w:r>
      <w:r w:rsidR="00573847" w:rsidRPr="0001154B">
        <w:rPr>
          <w:sz w:val="24"/>
          <w:szCs w:val="24"/>
        </w:rPr>
        <w:t xml:space="preserve"> its legislated role under the Public Health and Wellbeing A</w:t>
      </w:r>
      <w:r w:rsidRPr="0001154B">
        <w:rPr>
          <w:sz w:val="24"/>
          <w:szCs w:val="24"/>
        </w:rPr>
        <w:t>ct</w:t>
      </w:r>
      <w:r w:rsidR="00573847" w:rsidRPr="0001154B">
        <w:rPr>
          <w:sz w:val="24"/>
          <w:szCs w:val="24"/>
        </w:rPr>
        <w:t xml:space="preserve"> 2008</w:t>
      </w:r>
      <w:r w:rsidRPr="0001154B">
        <w:rPr>
          <w:sz w:val="24"/>
          <w:szCs w:val="24"/>
        </w:rPr>
        <w:t xml:space="preserve">, </w:t>
      </w:r>
      <w:r w:rsidR="00BF32DF" w:rsidRPr="0001154B">
        <w:rPr>
          <w:sz w:val="24"/>
          <w:szCs w:val="24"/>
        </w:rPr>
        <w:t xml:space="preserve">monitor </w:t>
      </w:r>
      <w:r w:rsidRPr="0001154B">
        <w:rPr>
          <w:sz w:val="24"/>
          <w:szCs w:val="24"/>
        </w:rPr>
        <w:t>the health and wellbeing o</w:t>
      </w:r>
      <w:r w:rsidR="00C1389B" w:rsidRPr="0001154B">
        <w:rPr>
          <w:sz w:val="24"/>
          <w:szCs w:val="24"/>
        </w:rPr>
        <w:t xml:space="preserve">f its community in relation to </w:t>
      </w:r>
      <w:r w:rsidR="00530F29" w:rsidRPr="0001154B">
        <w:rPr>
          <w:sz w:val="24"/>
          <w:szCs w:val="24"/>
        </w:rPr>
        <w:t>EGM</w:t>
      </w:r>
      <w:r w:rsidRPr="0001154B">
        <w:rPr>
          <w:sz w:val="24"/>
          <w:szCs w:val="24"/>
        </w:rPr>
        <w:t>s</w:t>
      </w:r>
      <w:r w:rsidR="002F74B4">
        <w:rPr>
          <w:sz w:val="24"/>
          <w:szCs w:val="24"/>
        </w:rPr>
        <w:t>. Council will also</w:t>
      </w:r>
      <w:r w:rsidRPr="0001154B">
        <w:rPr>
          <w:sz w:val="24"/>
          <w:szCs w:val="24"/>
        </w:rPr>
        <w:t xml:space="preserve"> seek to </w:t>
      </w:r>
      <w:r w:rsidR="000D2BBD" w:rsidRPr="0001154B">
        <w:rPr>
          <w:sz w:val="24"/>
          <w:szCs w:val="24"/>
        </w:rPr>
        <w:t>minimise harms through its advocacy, programs and services and by working in partnership with community services, Gambler’s Help and other local governments.</w:t>
      </w:r>
    </w:p>
    <w:p w:rsidR="000D2BBD" w:rsidRPr="0001154B" w:rsidRDefault="000D2BBD" w:rsidP="0091765C">
      <w:pPr>
        <w:pStyle w:val="PPHEADING3"/>
        <w:jc w:val="both"/>
        <w:rPr>
          <w:sz w:val="24"/>
          <w:szCs w:val="24"/>
        </w:rPr>
      </w:pPr>
    </w:p>
    <w:p w:rsidR="000D2BBD" w:rsidRPr="0001154B" w:rsidRDefault="000D2BBD" w:rsidP="0091765C">
      <w:pPr>
        <w:pStyle w:val="PPHEADING3"/>
        <w:jc w:val="both"/>
        <w:rPr>
          <w:sz w:val="24"/>
          <w:szCs w:val="24"/>
        </w:rPr>
      </w:pPr>
      <w:r w:rsidRPr="0001154B">
        <w:rPr>
          <w:sz w:val="24"/>
          <w:szCs w:val="24"/>
        </w:rPr>
        <w:t>4.</w:t>
      </w:r>
      <w:r w:rsidR="00F27539" w:rsidRPr="0001154B">
        <w:rPr>
          <w:sz w:val="24"/>
          <w:szCs w:val="24"/>
        </w:rPr>
        <w:t>4</w:t>
      </w:r>
      <w:r w:rsidRPr="0001154B">
        <w:rPr>
          <w:sz w:val="24"/>
          <w:szCs w:val="24"/>
        </w:rPr>
        <w:tab/>
        <w:t xml:space="preserve">Council will </w:t>
      </w:r>
      <w:r w:rsidR="00A9730B" w:rsidRPr="0001154B">
        <w:rPr>
          <w:sz w:val="24"/>
          <w:szCs w:val="24"/>
        </w:rPr>
        <w:t>exercise its right to make submissions to the VCGLR where it beli</w:t>
      </w:r>
      <w:r w:rsidR="00C1389B" w:rsidRPr="0001154B">
        <w:rPr>
          <w:sz w:val="24"/>
          <w:szCs w:val="24"/>
        </w:rPr>
        <w:t>eves</w:t>
      </w:r>
      <w:r w:rsidR="00530F29" w:rsidRPr="0001154B">
        <w:rPr>
          <w:sz w:val="24"/>
          <w:szCs w:val="24"/>
        </w:rPr>
        <w:t xml:space="preserve">, based on available </w:t>
      </w:r>
      <w:r w:rsidR="00C94CCC">
        <w:rPr>
          <w:sz w:val="24"/>
          <w:szCs w:val="24"/>
        </w:rPr>
        <w:t>data</w:t>
      </w:r>
      <w:r w:rsidR="007E4715">
        <w:rPr>
          <w:sz w:val="24"/>
          <w:szCs w:val="24"/>
        </w:rPr>
        <w:t>;</w:t>
      </w:r>
      <w:r w:rsidR="002E50C1" w:rsidRPr="0001154B">
        <w:rPr>
          <w:sz w:val="24"/>
          <w:szCs w:val="24"/>
        </w:rPr>
        <w:t xml:space="preserve"> </w:t>
      </w:r>
      <w:r w:rsidR="00E247D0" w:rsidRPr="0001154B">
        <w:rPr>
          <w:sz w:val="24"/>
          <w:szCs w:val="24"/>
        </w:rPr>
        <w:t xml:space="preserve">an increase in the number </w:t>
      </w:r>
      <w:r w:rsidR="00C1389B" w:rsidRPr="0001154B">
        <w:rPr>
          <w:sz w:val="24"/>
          <w:szCs w:val="24"/>
        </w:rPr>
        <w:t xml:space="preserve">of </w:t>
      </w:r>
      <w:r w:rsidR="00530F29" w:rsidRPr="0001154B">
        <w:rPr>
          <w:sz w:val="24"/>
          <w:szCs w:val="24"/>
        </w:rPr>
        <w:t>EGM</w:t>
      </w:r>
      <w:r w:rsidR="00A9730B" w:rsidRPr="0001154B">
        <w:rPr>
          <w:sz w:val="24"/>
          <w:szCs w:val="24"/>
        </w:rPr>
        <w:t xml:space="preserve">s </w:t>
      </w:r>
      <w:r w:rsidR="009F7987" w:rsidRPr="0001154B">
        <w:rPr>
          <w:sz w:val="24"/>
          <w:szCs w:val="24"/>
        </w:rPr>
        <w:t>may</w:t>
      </w:r>
      <w:r w:rsidR="00AB2C5F" w:rsidRPr="0001154B">
        <w:rPr>
          <w:sz w:val="24"/>
          <w:szCs w:val="24"/>
        </w:rPr>
        <w:t xml:space="preserve"> result in</w:t>
      </w:r>
      <w:r w:rsidR="00E247D0" w:rsidRPr="0001154B">
        <w:rPr>
          <w:sz w:val="24"/>
          <w:szCs w:val="24"/>
        </w:rPr>
        <w:t xml:space="preserve"> a</w:t>
      </w:r>
      <w:r w:rsidR="00A9730B" w:rsidRPr="0001154B">
        <w:rPr>
          <w:sz w:val="24"/>
          <w:szCs w:val="24"/>
        </w:rPr>
        <w:t xml:space="preserve"> </w:t>
      </w:r>
      <w:r w:rsidR="00131A92" w:rsidRPr="0001154B">
        <w:rPr>
          <w:sz w:val="24"/>
          <w:szCs w:val="24"/>
        </w:rPr>
        <w:t>net</w:t>
      </w:r>
      <w:r w:rsidR="00A9730B" w:rsidRPr="0001154B">
        <w:rPr>
          <w:sz w:val="24"/>
          <w:szCs w:val="24"/>
        </w:rPr>
        <w:t xml:space="preserve"> social and economic </w:t>
      </w:r>
      <w:r w:rsidR="00131A92" w:rsidRPr="0001154B">
        <w:rPr>
          <w:sz w:val="24"/>
          <w:szCs w:val="24"/>
        </w:rPr>
        <w:t>detriment</w:t>
      </w:r>
      <w:r w:rsidR="00A9730B" w:rsidRPr="0001154B">
        <w:rPr>
          <w:sz w:val="24"/>
          <w:szCs w:val="24"/>
        </w:rPr>
        <w:t>.</w:t>
      </w:r>
    </w:p>
    <w:p w:rsidR="00EC4C2C" w:rsidRDefault="00EC4C2C" w:rsidP="00812259">
      <w:pPr>
        <w:rPr>
          <w:rFonts w:ascii="Arial" w:hAnsi="Arial" w:cs="Arial"/>
          <w:sz w:val="22"/>
          <w:szCs w:val="22"/>
        </w:rPr>
      </w:pPr>
    </w:p>
    <w:p w:rsidR="00F27539" w:rsidRDefault="00F27539" w:rsidP="00812259">
      <w:pPr>
        <w:rPr>
          <w:rFonts w:ascii="Arial" w:hAnsi="Arial" w:cs="Arial"/>
          <w:sz w:val="22"/>
          <w:szCs w:val="22"/>
        </w:rPr>
      </w:pPr>
    </w:p>
    <w:p w:rsidR="00F27539" w:rsidRDefault="00F27539" w:rsidP="00812259">
      <w:pPr>
        <w:rPr>
          <w:rFonts w:ascii="Arial" w:hAnsi="Arial" w:cs="Arial"/>
          <w:sz w:val="22"/>
          <w:szCs w:val="22"/>
        </w:rPr>
      </w:pPr>
    </w:p>
    <w:p w:rsidR="007E4715" w:rsidRDefault="007E4715" w:rsidP="00812259">
      <w:pPr>
        <w:rPr>
          <w:rFonts w:ascii="Arial" w:hAnsi="Arial" w:cs="Arial"/>
          <w:sz w:val="22"/>
          <w:szCs w:val="22"/>
        </w:rPr>
      </w:pPr>
    </w:p>
    <w:p w:rsidR="00F27539" w:rsidRDefault="00F27539" w:rsidP="00812259">
      <w:pPr>
        <w:rPr>
          <w:rFonts w:ascii="Arial" w:hAnsi="Arial" w:cs="Arial"/>
          <w:sz w:val="22"/>
          <w:szCs w:val="22"/>
        </w:rPr>
      </w:pPr>
    </w:p>
    <w:p w:rsidR="00F27539" w:rsidRDefault="00F27539" w:rsidP="00812259">
      <w:pPr>
        <w:rPr>
          <w:rFonts w:ascii="Arial" w:hAnsi="Arial" w:cs="Arial"/>
          <w:sz w:val="22"/>
          <w:szCs w:val="22"/>
        </w:rPr>
      </w:pPr>
    </w:p>
    <w:p w:rsidR="00C04B91" w:rsidRDefault="00C04B91" w:rsidP="00512091">
      <w:pPr>
        <w:pStyle w:val="PPTABLERIGHTCOLUMN"/>
        <w:sectPr w:rsidR="00C04B91" w:rsidSect="00F11620">
          <w:headerReference w:type="even" r:id="rId15"/>
          <w:headerReference w:type="default" r:id="rId16"/>
          <w:headerReference w:type="first" r:id="rId17"/>
          <w:footerReference w:type="first" r:id="rId18"/>
          <w:pgSz w:w="11906" w:h="16838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EC4C2C" w:rsidRPr="00940C0B" w:rsidRDefault="00FB620B" w:rsidP="00940C0B">
      <w:pPr>
        <w:pStyle w:val="PPHEADING2"/>
      </w:pPr>
      <w:r w:rsidRPr="00940C0B">
        <w:lastRenderedPageBreak/>
        <w:t>5</w:t>
      </w:r>
      <w:r w:rsidR="00EC4C2C" w:rsidRPr="00940C0B">
        <w:t>. RELATED DOCUMENTS</w:t>
      </w:r>
    </w:p>
    <w:p w:rsidR="00940C0B" w:rsidRDefault="00940C0B" w:rsidP="0001154B">
      <w:pPr>
        <w:pStyle w:val="PPHYPERLINK"/>
      </w:pPr>
    </w:p>
    <w:p w:rsidR="0093534A" w:rsidRPr="0001154B" w:rsidRDefault="00F27539" w:rsidP="0001154B">
      <w:pPr>
        <w:pStyle w:val="PPHYPERLINK"/>
      </w:pPr>
      <w:r w:rsidRPr="0001154B">
        <w:t xml:space="preserve">5.1       </w:t>
      </w:r>
      <w:r w:rsidR="0093534A" w:rsidRPr="0001154B">
        <w:t xml:space="preserve">A </w:t>
      </w:r>
      <w:r w:rsidR="00775695" w:rsidRPr="0001154B">
        <w:t>range of Council</w:t>
      </w:r>
      <w:r w:rsidR="0093534A" w:rsidRPr="0001154B">
        <w:t xml:space="preserve"> </w:t>
      </w:r>
      <w:r w:rsidR="000B15B0" w:rsidRPr="0001154B">
        <w:t xml:space="preserve">work and local research </w:t>
      </w:r>
      <w:r w:rsidR="0093534A" w:rsidRPr="0001154B">
        <w:t>informs the Policy:</w:t>
      </w:r>
    </w:p>
    <w:p w:rsidR="0093534A" w:rsidRDefault="0093534A" w:rsidP="0001154B">
      <w:pPr>
        <w:pStyle w:val="PPHYPERLINK"/>
      </w:pPr>
    </w:p>
    <w:p w:rsidR="000B15B0" w:rsidRPr="00F27539" w:rsidRDefault="00C20998" w:rsidP="0091765C">
      <w:pPr>
        <w:pStyle w:val="PPHYPERLINK"/>
        <w:numPr>
          <w:ilvl w:val="0"/>
          <w:numId w:val="27"/>
        </w:numPr>
        <w:ind w:left="1080"/>
        <w:jc w:val="both"/>
      </w:pPr>
      <w:r w:rsidRPr="00F27539">
        <w:t>R</w:t>
      </w:r>
      <w:r w:rsidR="00C55227" w:rsidRPr="00F27539">
        <w:t>esearch</w:t>
      </w:r>
      <w:r w:rsidR="00775695" w:rsidRPr="00F27539">
        <w:t xml:space="preserve"> on EGM gambling</w:t>
      </w:r>
      <w:r w:rsidR="000B15B0" w:rsidRPr="00F27539">
        <w:t xml:space="preserve"> undertaken by universities, governments and other bodies.</w:t>
      </w:r>
    </w:p>
    <w:p w:rsidR="000B15B0" w:rsidRPr="00F27539" w:rsidRDefault="000B15B0" w:rsidP="0091765C">
      <w:pPr>
        <w:pStyle w:val="PPHYPERLINK"/>
        <w:ind w:left="360"/>
        <w:jc w:val="both"/>
      </w:pPr>
    </w:p>
    <w:p w:rsidR="00EC4C2C" w:rsidRPr="00F27539" w:rsidRDefault="000B15B0" w:rsidP="0091765C">
      <w:pPr>
        <w:pStyle w:val="PPHYPERLINK"/>
        <w:numPr>
          <w:ilvl w:val="0"/>
          <w:numId w:val="27"/>
        </w:numPr>
        <w:ind w:left="1080"/>
        <w:jc w:val="both"/>
      </w:pPr>
      <w:r w:rsidRPr="00F27539">
        <w:t>D</w:t>
      </w:r>
      <w:r w:rsidR="00C55227" w:rsidRPr="00F27539">
        <w:t>emographic dat</w:t>
      </w:r>
      <w:r w:rsidR="0093534A" w:rsidRPr="00F27539">
        <w:t>a specific to Yarra Ranges</w:t>
      </w:r>
      <w:r w:rsidR="00775695" w:rsidRPr="00F27539">
        <w:t xml:space="preserve"> such as the ID demographic profile, the Yarra Ranges Health Profile, local area planning tools</w:t>
      </w:r>
      <w:r w:rsidR="0093534A" w:rsidRPr="00F27539">
        <w:t xml:space="preserve"> and Council’s</w:t>
      </w:r>
      <w:r w:rsidR="00C55227" w:rsidRPr="00F27539">
        <w:t xml:space="preserve"> community wellbeing approach</w:t>
      </w:r>
      <w:r w:rsidR="0093534A" w:rsidRPr="00F27539">
        <w:t>,</w:t>
      </w:r>
      <w:r w:rsidR="00AC5EE1" w:rsidRPr="00F27539">
        <w:t xml:space="preserve"> including an understandin</w:t>
      </w:r>
      <w:r w:rsidR="0093534A" w:rsidRPr="00F27539">
        <w:t>g of the determinants of health</w:t>
      </w:r>
      <w:r w:rsidR="00C55227" w:rsidRPr="00F27539">
        <w:t>.</w:t>
      </w:r>
    </w:p>
    <w:p w:rsidR="00C55227" w:rsidRPr="00F27539" w:rsidRDefault="00C55227" w:rsidP="0091765C">
      <w:pPr>
        <w:pStyle w:val="PPHYPERLINK"/>
        <w:ind w:left="360"/>
        <w:jc w:val="both"/>
      </w:pPr>
    </w:p>
    <w:p w:rsidR="00C55227" w:rsidRPr="00F27539" w:rsidRDefault="00C20998" w:rsidP="0091765C">
      <w:pPr>
        <w:pStyle w:val="PPHYPERLINK"/>
        <w:numPr>
          <w:ilvl w:val="0"/>
          <w:numId w:val="27"/>
        </w:numPr>
        <w:ind w:left="1080"/>
        <w:jc w:val="both"/>
      </w:pPr>
      <w:r w:rsidRPr="00F27539">
        <w:t>The</w:t>
      </w:r>
      <w:r w:rsidR="00C55227" w:rsidRPr="00F27539">
        <w:t xml:space="preserve"> Community Wellbeing Plan </w:t>
      </w:r>
      <w:r w:rsidR="00BF32DF" w:rsidRPr="00F27539">
        <w:t>2009</w:t>
      </w:r>
      <w:r w:rsidR="00D14E68" w:rsidRPr="00F27539">
        <w:t xml:space="preserve"> – 2013 </w:t>
      </w:r>
      <w:r w:rsidR="00BF32DF" w:rsidRPr="00F27539">
        <w:t>includes</w:t>
      </w:r>
      <w:r w:rsidR="00C55227" w:rsidRPr="00F27539">
        <w:t xml:space="preserve"> priorities to improve mental health and reduce health inequities. The Yarra Ranges Health Profile informs the Community Wellbeing Plan </w:t>
      </w:r>
      <w:r w:rsidR="00AC5EE1" w:rsidRPr="00F27539">
        <w:t xml:space="preserve">and </w:t>
      </w:r>
      <w:r w:rsidR="00D14E68" w:rsidRPr="00F27539">
        <w:t>examines</w:t>
      </w:r>
      <w:r w:rsidR="00281BCF" w:rsidRPr="00F27539">
        <w:t xml:space="preserve"> data on the</w:t>
      </w:r>
      <w:r w:rsidR="00C55227" w:rsidRPr="00F27539">
        <w:t xml:space="preserve"> </w:t>
      </w:r>
      <w:r w:rsidR="00D14E68" w:rsidRPr="00F27539">
        <w:t xml:space="preserve">health </w:t>
      </w:r>
      <w:r w:rsidR="00281BCF" w:rsidRPr="00F27539">
        <w:t>status of residents</w:t>
      </w:r>
      <w:r w:rsidR="00F81E6B" w:rsidRPr="00F27539">
        <w:t xml:space="preserve">. The Health Profile highlights </w:t>
      </w:r>
      <w:r w:rsidR="00C55227" w:rsidRPr="00F27539">
        <w:t xml:space="preserve">health issues and </w:t>
      </w:r>
      <w:r w:rsidR="00F81E6B" w:rsidRPr="00F27539">
        <w:t xml:space="preserve">resulting </w:t>
      </w:r>
      <w:r w:rsidR="00BF32DF" w:rsidRPr="00F27539">
        <w:t>vulnerabilities in Yarra Ranges including</w:t>
      </w:r>
      <w:r w:rsidR="0093534A" w:rsidRPr="00F27539">
        <w:t xml:space="preserve"> the location of </w:t>
      </w:r>
      <w:r w:rsidR="00D14E68" w:rsidRPr="00F27539">
        <w:t>EGMs</w:t>
      </w:r>
      <w:r w:rsidR="00BF32DF" w:rsidRPr="00F27539">
        <w:t xml:space="preserve"> in the municipality and the e</w:t>
      </w:r>
      <w:r w:rsidR="0093534A" w:rsidRPr="00F27539">
        <w:t xml:space="preserve">xtent of losses resulting from </w:t>
      </w:r>
      <w:r w:rsidR="00D14E68" w:rsidRPr="00F27539">
        <w:t xml:space="preserve">EGM </w:t>
      </w:r>
      <w:r w:rsidR="00BF32DF" w:rsidRPr="00F27539">
        <w:t>gambling.</w:t>
      </w:r>
    </w:p>
    <w:p w:rsidR="00AA14D9" w:rsidRPr="00F27539" w:rsidRDefault="00AA14D9" w:rsidP="0091765C">
      <w:pPr>
        <w:pStyle w:val="PPHYPERLINK"/>
        <w:ind w:left="360"/>
        <w:jc w:val="both"/>
      </w:pPr>
    </w:p>
    <w:p w:rsidR="00F27539" w:rsidRPr="00F27539" w:rsidRDefault="00C20998" w:rsidP="0091765C">
      <w:pPr>
        <w:pStyle w:val="PPHYPERLINK"/>
        <w:numPr>
          <w:ilvl w:val="0"/>
          <w:numId w:val="27"/>
        </w:numPr>
        <w:ind w:left="1080"/>
        <w:jc w:val="both"/>
      </w:pPr>
      <w:r w:rsidRPr="00F27539">
        <w:t>T</w:t>
      </w:r>
      <w:r w:rsidR="00AA14D9" w:rsidRPr="00F27539">
        <w:t xml:space="preserve">he Yarra Ranges Planning Scheme includes </w:t>
      </w:r>
      <w:r w:rsidR="00450942" w:rsidRPr="00F27539">
        <w:t>Clause 22.08</w:t>
      </w:r>
      <w:r w:rsidR="00AA14D9" w:rsidRPr="00F27539">
        <w:t xml:space="preserve"> </w:t>
      </w:r>
      <w:r w:rsidR="00AC5EE1" w:rsidRPr="00F27539">
        <w:t>which sets</w:t>
      </w:r>
      <w:r w:rsidR="00AA14D9" w:rsidRPr="00F27539">
        <w:t xml:space="preserve"> out Council’s </w:t>
      </w:r>
      <w:r w:rsidR="00450942" w:rsidRPr="00F27539">
        <w:t>planning scheme amendment</w:t>
      </w:r>
      <w:r w:rsidR="00AA14D9" w:rsidRPr="00F27539">
        <w:t xml:space="preserve"> on gaming</w:t>
      </w:r>
      <w:r w:rsidR="00450942" w:rsidRPr="00F27539">
        <w:t>.</w:t>
      </w:r>
      <w:r w:rsidR="00172A91" w:rsidRPr="00F27539">
        <w:t xml:space="preserve"> </w:t>
      </w:r>
    </w:p>
    <w:p w:rsidR="00F27539" w:rsidRPr="00F27539" w:rsidRDefault="00F27539" w:rsidP="0091765C">
      <w:pPr>
        <w:pStyle w:val="PPHYPERLINK"/>
        <w:ind w:left="360"/>
        <w:jc w:val="both"/>
      </w:pPr>
    </w:p>
    <w:p w:rsidR="001F5470" w:rsidRPr="00F27539" w:rsidRDefault="001C66EC" w:rsidP="0091765C">
      <w:pPr>
        <w:pStyle w:val="PPHYPERLINK"/>
        <w:numPr>
          <w:ilvl w:val="0"/>
          <w:numId w:val="27"/>
        </w:numPr>
        <w:ind w:left="1080"/>
        <w:jc w:val="both"/>
      </w:pPr>
      <w:r w:rsidRPr="00F27539">
        <w:t>The</w:t>
      </w:r>
      <w:r w:rsidR="0001154B">
        <w:t xml:space="preserve"> EGM</w:t>
      </w:r>
      <w:r w:rsidRPr="00F27539">
        <w:t xml:space="preserve"> Process </w:t>
      </w:r>
      <w:r w:rsidR="0001154B">
        <w:t>Guidelines</w:t>
      </w:r>
      <w:r w:rsidRPr="00F27539">
        <w:t xml:space="preserve"> </w:t>
      </w:r>
      <w:r w:rsidR="0001154B">
        <w:t>outlines</w:t>
      </w:r>
      <w:r w:rsidRPr="00F27539">
        <w:t xml:space="preserve"> the governance processes associated with receipt of an application and preparation of a SEIA through to appearing at the VCGLR hearing.</w:t>
      </w:r>
      <w:r w:rsidR="001F5470" w:rsidRPr="00F27539">
        <w:t xml:space="preserve"> </w:t>
      </w:r>
    </w:p>
    <w:p w:rsidR="001F5470" w:rsidRPr="00F27539" w:rsidRDefault="001F5470" w:rsidP="0001154B">
      <w:pPr>
        <w:pStyle w:val="PPHYPERLINK"/>
      </w:pPr>
    </w:p>
    <w:sectPr w:rsidR="001F5470" w:rsidRPr="00F27539" w:rsidSect="00F11620">
      <w:headerReference w:type="even" r:id="rId19"/>
      <w:headerReference w:type="default" r:id="rId20"/>
      <w:headerReference w:type="first" r:id="rId21"/>
      <w:footerReference w:type="first" r:id="rId22"/>
      <w:pgSz w:w="11906" w:h="16838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ABE" w:rsidRDefault="00260ABE">
      <w:r>
        <w:separator/>
      </w:r>
    </w:p>
  </w:endnote>
  <w:endnote w:type="continuationSeparator" w:id="0">
    <w:p w:rsidR="00260ABE" w:rsidRDefault="00260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B03" w:rsidRDefault="00BE2C85" w:rsidP="00DF77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6B0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6B03" w:rsidRDefault="00246B0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B03" w:rsidRPr="00F11620" w:rsidRDefault="00246B03">
    <w:pPr>
      <w:pStyle w:val="Footer"/>
      <w:rPr>
        <w:rFonts w:ascii="Arial" w:hAnsi="Arial" w:cs="Arial"/>
        <w:sz w:val="16"/>
        <w:szCs w:val="16"/>
      </w:rPr>
    </w:pPr>
    <w:r w:rsidRPr="006D71B3"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-1150620</wp:posOffset>
          </wp:positionH>
          <wp:positionV relativeFrom="page">
            <wp:posOffset>9810750</wp:posOffset>
          </wp:positionV>
          <wp:extent cx="9601200" cy="219075"/>
          <wp:effectExtent l="19050" t="0" r="0" b="0"/>
          <wp:wrapNone/>
          <wp:docPr id="3" name="Picture 1" descr="Mountain Str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untain Stri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0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Pr="00F11620">
      <w:rPr>
        <w:rFonts w:ascii="Arial" w:hAnsi="Arial" w:cs="Arial"/>
        <w:sz w:val="16"/>
        <w:szCs w:val="16"/>
      </w:rPr>
      <w:t xml:space="preserve">Page </w:t>
    </w:r>
    <w:r w:rsidR="00BE2C85" w:rsidRPr="00F11620">
      <w:rPr>
        <w:rFonts w:ascii="Arial" w:hAnsi="Arial" w:cs="Arial"/>
        <w:sz w:val="16"/>
        <w:szCs w:val="16"/>
      </w:rPr>
      <w:fldChar w:fldCharType="begin"/>
    </w:r>
    <w:r w:rsidRPr="00F11620">
      <w:rPr>
        <w:rFonts w:ascii="Arial" w:hAnsi="Arial" w:cs="Arial"/>
        <w:sz w:val="16"/>
        <w:szCs w:val="16"/>
      </w:rPr>
      <w:instrText xml:space="preserve"> PAGE </w:instrText>
    </w:r>
    <w:r w:rsidR="00BE2C85" w:rsidRPr="00F11620">
      <w:rPr>
        <w:rFonts w:ascii="Arial" w:hAnsi="Arial" w:cs="Arial"/>
        <w:sz w:val="16"/>
        <w:szCs w:val="16"/>
      </w:rPr>
      <w:fldChar w:fldCharType="separate"/>
    </w:r>
    <w:r w:rsidR="009A248F">
      <w:rPr>
        <w:rFonts w:ascii="Arial" w:hAnsi="Arial" w:cs="Arial"/>
        <w:noProof/>
        <w:sz w:val="16"/>
        <w:szCs w:val="16"/>
      </w:rPr>
      <w:t>3</w:t>
    </w:r>
    <w:r w:rsidR="00BE2C85" w:rsidRPr="00F11620">
      <w:rPr>
        <w:rFonts w:ascii="Arial" w:hAnsi="Arial" w:cs="Arial"/>
        <w:sz w:val="16"/>
        <w:szCs w:val="16"/>
      </w:rPr>
      <w:fldChar w:fldCharType="end"/>
    </w:r>
    <w:r w:rsidRPr="00F11620">
      <w:rPr>
        <w:rFonts w:ascii="Arial" w:hAnsi="Arial" w:cs="Arial"/>
        <w:sz w:val="16"/>
        <w:szCs w:val="16"/>
      </w:rPr>
      <w:t xml:space="preserve"> of </w:t>
    </w:r>
    <w:r w:rsidR="00BE2C85" w:rsidRPr="00F11620">
      <w:rPr>
        <w:rFonts w:ascii="Arial" w:hAnsi="Arial" w:cs="Arial"/>
        <w:sz w:val="16"/>
        <w:szCs w:val="16"/>
      </w:rPr>
      <w:fldChar w:fldCharType="begin"/>
    </w:r>
    <w:r w:rsidRPr="00F11620">
      <w:rPr>
        <w:rFonts w:ascii="Arial" w:hAnsi="Arial" w:cs="Arial"/>
        <w:sz w:val="16"/>
        <w:szCs w:val="16"/>
      </w:rPr>
      <w:instrText xml:space="preserve"> NUMPAGES </w:instrText>
    </w:r>
    <w:r w:rsidR="00BE2C85" w:rsidRPr="00F11620">
      <w:rPr>
        <w:rFonts w:ascii="Arial" w:hAnsi="Arial" w:cs="Arial"/>
        <w:sz w:val="16"/>
        <w:szCs w:val="16"/>
      </w:rPr>
      <w:fldChar w:fldCharType="separate"/>
    </w:r>
    <w:r w:rsidR="009A248F">
      <w:rPr>
        <w:rFonts w:ascii="Arial" w:hAnsi="Arial" w:cs="Arial"/>
        <w:noProof/>
        <w:sz w:val="16"/>
        <w:szCs w:val="16"/>
      </w:rPr>
      <w:t>5</w:t>
    </w:r>
    <w:r w:rsidR="00BE2C85" w:rsidRPr="00F11620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B03" w:rsidRPr="00A83F2F" w:rsidRDefault="00246B03" w:rsidP="00A83F2F">
    <w:pPr>
      <w:pStyle w:val="Footer"/>
      <w:jc w:val="center"/>
      <w:rPr>
        <w:rFonts w:ascii="Arial" w:hAnsi="Arial" w:cs="Arial"/>
        <w:sz w:val="16"/>
        <w:szCs w:val="16"/>
      </w:rPr>
    </w:pPr>
    <w:r w:rsidRPr="00A83F2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column">
            <wp:posOffset>-1219200</wp:posOffset>
          </wp:positionH>
          <wp:positionV relativeFrom="page">
            <wp:posOffset>9798050</wp:posOffset>
          </wp:positionV>
          <wp:extent cx="9601200" cy="218440"/>
          <wp:effectExtent l="19050" t="0" r="0" b="0"/>
          <wp:wrapNone/>
          <wp:docPr id="1" name="Picture 1" descr="Mountain Str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untain Stri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B1467">
      <w:rPr>
        <w:rFonts w:ascii="Arial" w:hAnsi="Arial" w:cs="Arial"/>
        <w:sz w:val="16"/>
        <w:szCs w:val="16"/>
      </w:rPr>
      <w:t>Page 1 of 3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467" w:rsidRPr="00CB1467" w:rsidRDefault="00CB1467" w:rsidP="00CB1467">
    <w:pPr>
      <w:pStyle w:val="Footer"/>
      <w:jc w:val="center"/>
      <w:rPr>
        <w:rFonts w:ascii="Arial" w:hAnsi="Arial" w:cs="Arial"/>
        <w:sz w:val="16"/>
        <w:szCs w:val="16"/>
      </w:rPr>
    </w:pPr>
    <w:r w:rsidRPr="00CB1467">
      <w:rPr>
        <w:rFonts w:ascii="Arial" w:hAnsi="Arial" w:cs="Arial"/>
        <w:sz w:val="16"/>
        <w:szCs w:val="16"/>
      </w:rPr>
      <w:t>Page 2 of 3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467" w:rsidRPr="00CB1467" w:rsidRDefault="00CB1467" w:rsidP="00CB1467">
    <w:pPr>
      <w:pStyle w:val="Footer"/>
      <w:jc w:val="center"/>
      <w:rPr>
        <w:rFonts w:ascii="Arial" w:hAnsi="Arial" w:cs="Arial"/>
        <w:sz w:val="16"/>
        <w:szCs w:val="16"/>
      </w:rPr>
    </w:pPr>
    <w:r w:rsidRPr="00CB1467">
      <w:rPr>
        <w:rFonts w:ascii="Arial" w:hAnsi="Arial" w:cs="Arial"/>
        <w:sz w:val="16"/>
        <w:szCs w:val="16"/>
      </w:rPr>
      <w:t xml:space="preserve">Page </w:t>
    </w:r>
    <w:r>
      <w:rPr>
        <w:rFonts w:ascii="Arial" w:hAnsi="Arial" w:cs="Arial"/>
        <w:sz w:val="16"/>
        <w:szCs w:val="16"/>
      </w:rPr>
      <w:t>3</w:t>
    </w:r>
    <w:r w:rsidRPr="00CB1467">
      <w:rPr>
        <w:rFonts w:ascii="Arial" w:hAnsi="Arial" w:cs="Arial"/>
        <w:sz w:val="16"/>
        <w:szCs w:val="16"/>
      </w:rPr>
      <w:t xml:space="preserve"> of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ABE" w:rsidRDefault="00260ABE">
      <w:r>
        <w:separator/>
      </w:r>
    </w:p>
  </w:footnote>
  <w:footnote w:type="continuationSeparator" w:id="0">
    <w:p w:rsidR="00260ABE" w:rsidRDefault="00260A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12" w:rsidRDefault="0063581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45672" o:spid="_x0000_s18440" type="#_x0000_t136" style="position:absolute;margin-left:0;margin-top:0;width:527.3pt;height:58.5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 June 2013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12" w:rsidRDefault="0063581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45673" o:spid="_x0000_s18441" type="#_x0000_t136" style="position:absolute;margin-left:0;margin-top:0;width:527.3pt;height:58.5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 June 2013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035" w:rsidRDefault="0063581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45671" o:spid="_x0000_s18439" type="#_x0000_t136" style="position:absolute;margin-left:0;margin-top:0;width:527.3pt;height:58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 June 2013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12" w:rsidRDefault="0063581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45675" o:spid="_x0000_s18443" type="#_x0000_t136" style="position:absolute;margin-left:0;margin-top:0;width:527.3pt;height:58.5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 June 2013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12" w:rsidRDefault="0063581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45676" o:spid="_x0000_s18444" type="#_x0000_t136" style="position:absolute;margin-left:0;margin-top:0;width:527.3pt;height:58.5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 June 2013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12" w:rsidRDefault="0063581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45674" o:spid="_x0000_s18442" type="#_x0000_t136" style="position:absolute;margin-left:0;margin-top:0;width:527.3pt;height:58.5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 June 2013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12" w:rsidRDefault="0063581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45678" o:spid="_x0000_s18446" type="#_x0000_t136" style="position:absolute;margin-left:0;margin-top:0;width:527.3pt;height:58.55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 June 2013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12" w:rsidRDefault="0063581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45679" o:spid="_x0000_s18447" type="#_x0000_t136" style="position:absolute;margin-left:0;margin-top:0;width:527.3pt;height:58.55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 June 2013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12" w:rsidRDefault="0063581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45677" o:spid="_x0000_s18445" type="#_x0000_t136" style="position:absolute;margin-left:0;margin-top:0;width:527.3pt;height:58.5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 June 2013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C4D"/>
    <w:multiLevelType w:val="hybridMultilevel"/>
    <w:tmpl w:val="C43A8D7C"/>
    <w:lvl w:ilvl="0" w:tplc="CA7C74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594CDB"/>
    <w:multiLevelType w:val="hybridMultilevel"/>
    <w:tmpl w:val="486847E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149E8"/>
    <w:multiLevelType w:val="hybridMultilevel"/>
    <w:tmpl w:val="ECD072B2"/>
    <w:lvl w:ilvl="0" w:tplc="FAFAE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7C6127"/>
    <w:multiLevelType w:val="hybridMultilevel"/>
    <w:tmpl w:val="C204864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C62366"/>
    <w:multiLevelType w:val="hybridMultilevel"/>
    <w:tmpl w:val="8862AD58"/>
    <w:lvl w:ilvl="0" w:tplc="8F2C2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F1ABA"/>
    <w:multiLevelType w:val="hybridMultilevel"/>
    <w:tmpl w:val="FDC07B7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9C05B7"/>
    <w:multiLevelType w:val="hybridMultilevel"/>
    <w:tmpl w:val="F9AA7E5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1E21F3F"/>
    <w:multiLevelType w:val="hybridMultilevel"/>
    <w:tmpl w:val="C6E0F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D1422"/>
    <w:multiLevelType w:val="hybridMultilevel"/>
    <w:tmpl w:val="0CE4F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D009E"/>
    <w:multiLevelType w:val="hybridMultilevel"/>
    <w:tmpl w:val="9BC8E22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5006E4"/>
    <w:multiLevelType w:val="hybridMultilevel"/>
    <w:tmpl w:val="EDB843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143E46"/>
    <w:multiLevelType w:val="hybridMultilevel"/>
    <w:tmpl w:val="9E524A36"/>
    <w:lvl w:ilvl="0" w:tplc="8B140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F100C1"/>
    <w:multiLevelType w:val="hybridMultilevel"/>
    <w:tmpl w:val="32007B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308C7"/>
    <w:multiLevelType w:val="hybridMultilevel"/>
    <w:tmpl w:val="C6DC6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D1644D"/>
    <w:multiLevelType w:val="hybridMultilevel"/>
    <w:tmpl w:val="49861AD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9733766"/>
    <w:multiLevelType w:val="hybridMultilevel"/>
    <w:tmpl w:val="FC26C19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C2B40"/>
    <w:multiLevelType w:val="hybridMultilevel"/>
    <w:tmpl w:val="3EB078A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9B17C2"/>
    <w:multiLevelType w:val="hybridMultilevel"/>
    <w:tmpl w:val="5466234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4E1E4F"/>
    <w:multiLevelType w:val="hybridMultilevel"/>
    <w:tmpl w:val="2976E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B559CC"/>
    <w:multiLevelType w:val="hybridMultilevel"/>
    <w:tmpl w:val="A168A900"/>
    <w:lvl w:ilvl="0" w:tplc="FDFC36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A6B05E3"/>
    <w:multiLevelType w:val="hybridMultilevel"/>
    <w:tmpl w:val="31223392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C672952"/>
    <w:multiLevelType w:val="hybridMultilevel"/>
    <w:tmpl w:val="BF94430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CF067A"/>
    <w:multiLevelType w:val="hybridMultilevel"/>
    <w:tmpl w:val="313E7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ED1D5D"/>
    <w:multiLevelType w:val="hybridMultilevel"/>
    <w:tmpl w:val="70A63184"/>
    <w:lvl w:ilvl="0" w:tplc="FB8A8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1A5F9B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B12432C"/>
    <w:multiLevelType w:val="hybridMultilevel"/>
    <w:tmpl w:val="21BA6868"/>
    <w:lvl w:ilvl="0" w:tplc="3146BD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DD47F7E"/>
    <w:multiLevelType w:val="hybridMultilevel"/>
    <w:tmpl w:val="D4402126"/>
    <w:lvl w:ilvl="0" w:tplc="1FD82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BE5D95"/>
    <w:multiLevelType w:val="hybridMultilevel"/>
    <w:tmpl w:val="DAB83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11"/>
  </w:num>
  <w:num w:numId="5">
    <w:abstractNumId w:val="21"/>
  </w:num>
  <w:num w:numId="6">
    <w:abstractNumId w:val="5"/>
  </w:num>
  <w:num w:numId="7">
    <w:abstractNumId w:val="24"/>
  </w:num>
  <w:num w:numId="8">
    <w:abstractNumId w:val="6"/>
  </w:num>
  <w:num w:numId="9">
    <w:abstractNumId w:val="2"/>
  </w:num>
  <w:num w:numId="10">
    <w:abstractNumId w:val="26"/>
  </w:num>
  <w:num w:numId="11">
    <w:abstractNumId w:val="8"/>
  </w:num>
  <w:num w:numId="12">
    <w:abstractNumId w:val="18"/>
  </w:num>
  <w:num w:numId="13">
    <w:abstractNumId w:val="23"/>
  </w:num>
  <w:num w:numId="14">
    <w:abstractNumId w:val="13"/>
  </w:num>
  <w:num w:numId="15">
    <w:abstractNumId w:val="25"/>
  </w:num>
  <w:num w:numId="16">
    <w:abstractNumId w:val="0"/>
  </w:num>
  <w:num w:numId="17">
    <w:abstractNumId w:val="4"/>
  </w:num>
  <w:num w:numId="18">
    <w:abstractNumId w:val="19"/>
  </w:num>
  <w:num w:numId="19">
    <w:abstractNumId w:val="14"/>
  </w:num>
  <w:num w:numId="20">
    <w:abstractNumId w:val="27"/>
  </w:num>
  <w:num w:numId="21">
    <w:abstractNumId w:val="7"/>
  </w:num>
  <w:num w:numId="22">
    <w:abstractNumId w:val="20"/>
  </w:num>
  <w:num w:numId="23">
    <w:abstractNumId w:val="3"/>
  </w:num>
  <w:num w:numId="24">
    <w:abstractNumId w:val="22"/>
  </w:num>
  <w:num w:numId="25">
    <w:abstractNumId w:val="15"/>
  </w:num>
  <w:num w:numId="26">
    <w:abstractNumId w:val="17"/>
  </w:num>
  <w:num w:numId="27">
    <w:abstractNumId w:val="1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0802"/>
  <w:defaultTabStop w:val="720"/>
  <w:noPunctuationKerning/>
  <w:characterSpacingControl w:val="doNotCompress"/>
  <w:hdrShapeDefaults>
    <o:shapedefaults v:ext="edit" spidmax="18448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/>
  <w:rsids>
    <w:rsidRoot w:val="00CA2654"/>
    <w:rsid w:val="00010DF4"/>
    <w:rsid w:val="0001154B"/>
    <w:rsid w:val="000218D6"/>
    <w:rsid w:val="00024F66"/>
    <w:rsid w:val="0002552C"/>
    <w:rsid w:val="00030FEF"/>
    <w:rsid w:val="00035FA4"/>
    <w:rsid w:val="000368DE"/>
    <w:rsid w:val="00053F6A"/>
    <w:rsid w:val="00064663"/>
    <w:rsid w:val="000768CD"/>
    <w:rsid w:val="000854DB"/>
    <w:rsid w:val="000A0CB0"/>
    <w:rsid w:val="000A2999"/>
    <w:rsid w:val="000B15B0"/>
    <w:rsid w:val="000B7BBB"/>
    <w:rsid w:val="000C5F16"/>
    <w:rsid w:val="000C6EC8"/>
    <w:rsid w:val="000D2BBD"/>
    <w:rsid w:val="000E3F9E"/>
    <w:rsid w:val="0010382C"/>
    <w:rsid w:val="00105479"/>
    <w:rsid w:val="00114A4C"/>
    <w:rsid w:val="00131A92"/>
    <w:rsid w:val="00132906"/>
    <w:rsid w:val="001533AA"/>
    <w:rsid w:val="00154B75"/>
    <w:rsid w:val="00155765"/>
    <w:rsid w:val="00155A3D"/>
    <w:rsid w:val="00157A96"/>
    <w:rsid w:val="00161766"/>
    <w:rsid w:val="00162516"/>
    <w:rsid w:val="00164D53"/>
    <w:rsid w:val="00166615"/>
    <w:rsid w:val="00166712"/>
    <w:rsid w:val="00172A91"/>
    <w:rsid w:val="0017676C"/>
    <w:rsid w:val="00194A33"/>
    <w:rsid w:val="00195591"/>
    <w:rsid w:val="001957C3"/>
    <w:rsid w:val="001A4ACF"/>
    <w:rsid w:val="001C634F"/>
    <w:rsid w:val="001C66EC"/>
    <w:rsid w:val="001D1850"/>
    <w:rsid w:val="001E64C6"/>
    <w:rsid w:val="001F0E63"/>
    <w:rsid w:val="001F5470"/>
    <w:rsid w:val="00201B81"/>
    <w:rsid w:val="00203896"/>
    <w:rsid w:val="00223E71"/>
    <w:rsid w:val="00224EBA"/>
    <w:rsid w:val="00236035"/>
    <w:rsid w:val="00246B03"/>
    <w:rsid w:val="00257A02"/>
    <w:rsid w:val="00260ABE"/>
    <w:rsid w:val="00271131"/>
    <w:rsid w:val="00281BCF"/>
    <w:rsid w:val="00284A99"/>
    <w:rsid w:val="00290658"/>
    <w:rsid w:val="0029148B"/>
    <w:rsid w:val="00292E95"/>
    <w:rsid w:val="00293EE5"/>
    <w:rsid w:val="002970AF"/>
    <w:rsid w:val="002A66B3"/>
    <w:rsid w:val="002B4913"/>
    <w:rsid w:val="002B6020"/>
    <w:rsid w:val="002D1102"/>
    <w:rsid w:val="002E50C1"/>
    <w:rsid w:val="002F3F11"/>
    <w:rsid w:val="002F74B4"/>
    <w:rsid w:val="003209F0"/>
    <w:rsid w:val="00323F26"/>
    <w:rsid w:val="0034683E"/>
    <w:rsid w:val="00352BB7"/>
    <w:rsid w:val="00354C4A"/>
    <w:rsid w:val="00375479"/>
    <w:rsid w:val="00376D30"/>
    <w:rsid w:val="00393271"/>
    <w:rsid w:val="00397FDE"/>
    <w:rsid w:val="003A5381"/>
    <w:rsid w:val="003E627F"/>
    <w:rsid w:val="003F3CEF"/>
    <w:rsid w:val="003F4375"/>
    <w:rsid w:val="003F5846"/>
    <w:rsid w:val="003F786E"/>
    <w:rsid w:val="00403B62"/>
    <w:rsid w:val="00433F0C"/>
    <w:rsid w:val="00450942"/>
    <w:rsid w:val="004531B7"/>
    <w:rsid w:val="00456B32"/>
    <w:rsid w:val="00467181"/>
    <w:rsid w:val="00470BE7"/>
    <w:rsid w:val="004827C9"/>
    <w:rsid w:val="00482DF7"/>
    <w:rsid w:val="0049447B"/>
    <w:rsid w:val="004A0E4B"/>
    <w:rsid w:val="004C5172"/>
    <w:rsid w:val="004F4F09"/>
    <w:rsid w:val="00512091"/>
    <w:rsid w:val="0051264D"/>
    <w:rsid w:val="00514D37"/>
    <w:rsid w:val="00526886"/>
    <w:rsid w:val="00526C17"/>
    <w:rsid w:val="00530F29"/>
    <w:rsid w:val="005371D1"/>
    <w:rsid w:val="005409E5"/>
    <w:rsid w:val="005508D8"/>
    <w:rsid w:val="005717F5"/>
    <w:rsid w:val="005735EB"/>
    <w:rsid w:val="00573847"/>
    <w:rsid w:val="0057486D"/>
    <w:rsid w:val="005A673B"/>
    <w:rsid w:val="005B0ABC"/>
    <w:rsid w:val="005B227B"/>
    <w:rsid w:val="005C207C"/>
    <w:rsid w:val="005C2E43"/>
    <w:rsid w:val="005C6E3B"/>
    <w:rsid w:val="005E4E22"/>
    <w:rsid w:val="005F230B"/>
    <w:rsid w:val="00610A69"/>
    <w:rsid w:val="00610A8C"/>
    <w:rsid w:val="00635812"/>
    <w:rsid w:val="00640475"/>
    <w:rsid w:val="006623FC"/>
    <w:rsid w:val="006669AA"/>
    <w:rsid w:val="0066705A"/>
    <w:rsid w:val="00681507"/>
    <w:rsid w:val="00683383"/>
    <w:rsid w:val="0068430E"/>
    <w:rsid w:val="00687F20"/>
    <w:rsid w:val="006C1872"/>
    <w:rsid w:val="006D62DB"/>
    <w:rsid w:val="006D71B3"/>
    <w:rsid w:val="006E728E"/>
    <w:rsid w:val="006F46A1"/>
    <w:rsid w:val="00710774"/>
    <w:rsid w:val="007175FC"/>
    <w:rsid w:val="007234CD"/>
    <w:rsid w:val="00752E89"/>
    <w:rsid w:val="00757F40"/>
    <w:rsid w:val="00775695"/>
    <w:rsid w:val="00775AB5"/>
    <w:rsid w:val="007B11B5"/>
    <w:rsid w:val="007D3894"/>
    <w:rsid w:val="007D5B3A"/>
    <w:rsid w:val="007E4715"/>
    <w:rsid w:val="00812259"/>
    <w:rsid w:val="00813A7B"/>
    <w:rsid w:val="00825DD1"/>
    <w:rsid w:val="00830B72"/>
    <w:rsid w:val="00837E67"/>
    <w:rsid w:val="00843735"/>
    <w:rsid w:val="00856F80"/>
    <w:rsid w:val="008B23D3"/>
    <w:rsid w:val="008C0ACC"/>
    <w:rsid w:val="008F2125"/>
    <w:rsid w:val="00912160"/>
    <w:rsid w:val="00914CE3"/>
    <w:rsid w:val="00916AFB"/>
    <w:rsid w:val="0091765C"/>
    <w:rsid w:val="00924E9A"/>
    <w:rsid w:val="009276C2"/>
    <w:rsid w:val="009334A2"/>
    <w:rsid w:val="00933778"/>
    <w:rsid w:val="0093534A"/>
    <w:rsid w:val="00935C61"/>
    <w:rsid w:val="00940C0B"/>
    <w:rsid w:val="00946DCE"/>
    <w:rsid w:val="00954DEF"/>
    <w:rsid w:val="0095742E"/>
    <w:rsid w:val="009702DD"/>
    <w:rsid w:val="00973D87"/>
    <w:rsid w:val="0097641E"/>
    <w:rsid w:val="00977E03"/>
    <w:rsid w:val="009A248F"/>
    <w:rsid w:val="009A35F8"/>
    <w:rsid w:val="009C7F9B"/>
    <w:rsid w:val="009D0A11"/>
    <w:rsid w:val="009F6243"/>
    <w:rsid w:val="009F7987"/>
    <w:rsid w:val="00A014A4"/>
    <w:rsid w:val="00A05827"/>
    <w:rsid w:val="00A061EE"/>
    <w:rsid w:val="00A211E9"/>
    <w:rsid w:val="00A4604D"/>
    <w:rsid w:val="00A50BEA"/>
    <w:rsid w:val="00A73349"/>
    <w:rsid w:val="00A77E57"/>
    <w:rsid w:val="00A81FE9"/>
    <w:rsid w:val="00A8255B"/>
    <w:rsid w:val="00A83F2F"/>
    <w:rsid w:val="00A95094"/>
    <w:rsid w:val="00A9730B"/>
    <w:rsid w:val="00AA14D9"/>
    <w:rsid w:val="00AB2C5F"/>
    <w:rsid w:val="00AC5EE1"/>
    <w:rsid w:val="00AC7EB7"/>
    <w:rsid w:val="00AF614E"/>
    <w:rsid w:val="00B16371"/>
    <w:rsid w:val="00B36082"/>
    <w:rsid w:val="00B36580"/>
    <w:rsid w:val="00B37A8D"/>
    <w:rsid w:val="00B4056E"/>
    <w:rsid w:val="00B60504"/>
    <w:rsid w:val="00B62C69"/>
    <w:rsid w:val="00B64C2C"/>
    <w:rsid w:val="00B71ABF"/>
    <w:rsid w:val="00B7246D"/>
    <w:rsid w:val="00B90363"/>
    <w:rsid w:val="00B90C22"/>
    <w:rsid w:val="00BB29D1"/>
    <w:rsid w:val="00BC3152"/>
    <w:rsid w:val="00BD25FA"/>
    <w:rsid w:val="00BE2C85"/>
    <w:rsid w:val="00BE7831"/>
    <w:rsid w:val="00BF1A1D"/>
    <w:rsid w:val="00BF32DF"/>
    <w:rsid w:val="00BF3526"/>
    <w:rsid w:val="00C04777"/>
    <w:rsid w:val="00C04B91"/>
    <w:rsid w:val="00C055DB"/>
    <w:rsid w:val="00C1389B"/>
    <w:rsid w:val="00C20998"/>
    <w:rsid w:val="00C36EBE"/>
    <w:rsid w:val="00C406AC"/>
    <w:rsid w:val="00C436BD"/>
    <w:rsid w:val="00C44B59"/>
    <w:rsid w:val="00C55227"/>
    <w:rsid w:val="00C66CA0"/>
    <w:rsid w:val="00C741F7"/>
    <w:rsid w:val="00C7570A"/>
    <w:rsid w:val="00C771C4"/>
    <w:rsid w:val="00C77C9B"/>
    <w:rsid w:val="00C84C83"/>
    <w:rsid w:val="00C94808"/>
    <w:rsid w:val="00C94CCC"/>
    <w:rsid w:val="00CA2654"/>
    <w:rsid w:val="00CA5D35"/>
    <w:rsid w:val="00CB0D76"/>
    <w:rsid w:val="00CB1467"/>
    <w:rsid w:val="00CC0EB7"/>
    <w:rsid w:val="00CD1902"/>
    <w:rsid w:val="00CD7CFE"/>
    <w:rsid w:val="00CF7819"/>
    <w:rsid w:val="00D14E68"/>
    <w:rsid w:val="00D2255E"/>
    <w:rsid w:val="00D36492"/>
    <w:rsid w:val="00D50A45"/>
    <w:rsid w:val="00D56DC1"/>
    <w:rsid w:val="00D76C6C"/>
    <w:rsid w:val="00D94ECC"/>
    <w:rsid w:val="00DA1BCB"/>
    <w:rsid w:val="00DC3CFC"/>
    <w:rsid w:val="00DC4AF7"/>
    <w:rsid w:val="00DE038C"/>
    <w:rsid w:val="00DF6935"/>
    <w:rsid w:val="00DF779A"/>
    <w:rsid w:val="00E247D0"/>
    <w:rsid w:val="00E32137"/>
    <w:rsid w:val="00E33959"/>
    <w:rsid w:val="00E61AE6"/>
    <w:rsid w:val="00E72D36"/>
    <w:rsid w:val="00E7307B"/>
    <w:rsid w:val="00E744DB"/>
    <w:rsid w:val="00E813A5"/>
    <w:rsid w:val="00E974A2"/>
    <w:rsid w:val="00EC2A7D"/>
    <w:rsid w:val="00EC4C2C"/>
    <w:rsid w:val="00F11620"/>
    <w:rsid w:val="00F27539"/>
    <w:rsid w:val="00F27E26"/>
    <w:rsid w:val="00F37B2E"/>
    <w:rsid w:val="00F41AFB"/>
    <w:rsid w:val="00F47413"/>
    <w:rsid w:val="00F5187A"/>
    <w:rsid w:val="00F5345C"/>
    <w:rsid w:val="00F73BD4"/>
    <w:rsid w:val="00F81E6B"/>
    <w:rsid w:val="00F8796D"/>
    <w:rsid w:val="00F879CB"/>
    <w:rsid w:val="00F93098"/>
    <w:rsid w:val="00F956A2"/>
    <w:rsid w:val="00FA6451"/>
    <w:rsid w:val="00FB1EAE"/>
    <w:rsid w:val="00FB620B"/>
    <w:rsid w:val="00FD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ABF"/>
    <w:rPr>
      <w:sz w:val="24"/>
      <w:szCs w:val="24"/>
    </w:rPr>
  </w:style>
  <w:style w:type="paragraph" w:styleId="Heading1">
    <w:name w:val="heading 1"/>
    <w:basedOn w:val="Normal"/>
    <w:next w:val="Normal"/>
    <w:qFormat/>
    <w:rsid w:val="00C757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26C1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26C17"/>
  </w:style>
  <w:style w:type="table" w:styleId="TableGrid">
    <w:name w:val="Table Grid"/>
    <w:basedOn w:val="TableNormal"/>
    <w:rsid w:val="00C757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Heading1"/>
    <w:rsid w:val="00C7570A"/>
    <w:pPr>
      <w:spacing w:before="120"/>
    </w:pPr>
    <w:rPr>
      <w:rFonts w:ascii="Arial (W1)" w:hAnsi="Arial (W1)"/>
      <w:caps/>
      <w:sz w:val="22"/>
      <w:szCs w:val="28"/>
    </w:rPr>
  </w:style>
  <w:style w:type="paragraph" w:styleId="Header">
    <w:name w:val="header"/>
    <w:basedOn w:val="Normal"/>
    <w:rsid w:val="00EC4C2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5742E"/>
    <w:rPr>
      <w:rFonts w:ascii="Tahoma" w:hAnsi="Tahoma" w:cs="Tahoma"/>
      <w:sz w:val="16"/>
      <w:szCs w:val="16"/>
    </w:rPr>
  </w:style>
  <w:style w:type="paragraph" w:customStyle="1" w:styleId="PPHeading">
    <w:name w:val="P&amp;P Heading"/>
    <w:basedOn w:val="Normal"/>
    <w:autoRedefine/>
    <w:rsid w:val="000D2BBD"/>
    <w:pPr>
      <w:spacing w:before="240"/>
      <w:ind w:left="-119"/>
      <w:jc w:val="center"/>
    </w:pPr>
    <w:rPr>
      <w:rFonts w:ascii="Arial" w:hAnsi="Arial" w:cs="Arial"/>
      <w:b/>
      <w:smallCaps/>
      <w:color w:val="FFFFFF"/>
      <w:sz w:val="28"/>
      <w:szCs w:val="28"/>
    </w:rPr>
  </w:style>
  <w:style w:type="paragraph" w:customStyle="1" w:styleId="PPHEADING1INTRO">
    <w:name w:val="P&amp;P HEADING 1 INTRO"/>
    <w:basedOn w:val="Heading1"/>
    <w:autoRedefine/>
    <w:rsid w:val="000768CD"/>
    <w:pPr>
      <w:spacing w:before="360"/>
    </w:pPr>
    <w:rPr>
      <w:smallCaps/>
      <w:sz w:val="24"/>
      <w:szCs w:val="24"/>
    </w:rPr>
  </w:style>
  <w:style w:type="paragraph" w:customStyle="1" w:styleId="PPPARAINTRO">
    <w:name w:val="P&amp;P PARA INTRO"/>
    <w:basedOn w:val="Normal"/>
    <w:autoRedefine/>
    <w:rsid w:val="0095742E"/>
    <w:pPr>
      <w:jc w:val="center"/>
    </w:pPr>
    <w:rPr>
      <w:rFonts w:ascii="Arial" w:hAnsi="Arial" w:cs="Arial"/>
    </w:rPr>
  </w:style>
  <w:style w:type="paragraph" w:customStyle="1" w:styleId="PPHEADING2">
    <w:name w:val="P&amp;P HEADING 2"/>
    <w:basedOn w:val="Normal"/>
    <w:autoRedefine/>
    <w:rsid w:val="00940C0B"/>
    <w:rPr>
      <w:rFonts w:ascii="Arial" w:hAnsi="Arial" w:cs="Arial"/>
      <w:b/>
      <w:smallCaps/>
    </w:rPr>
  </w:style>
  <w:style w:type="paragraph" w:customStyle="1" w:styleId="PPHEADING3">
    <w:name w:val="P&amp;P HEADING 3"/>
    <w:basedOn w:val="Normal"/>
    <w:autoRedefine/>
    <w:rsid w:val="00F27539"/>
    <w:pPr>
      <w:ind w:left="720" w:hanging="720"/>
    </w:pPr>
    <w:rPr>
      <w:rFonts w:ascii="Arial" w:hAnsi="Arial" w:cs="Arial"/>
      <w:sz w:val="22"/>
      <w:szCs w:val="22"/>
    </w:rPr>
  </w:style>
  <w:style w:type="paragraph" w:customStyle="1" w:styleId="PPNORMAL">
    <w:name w:val="P&amp;P NORMAL"/>
    <w:basedOn w:val="Normal"/>
    <w:link w:val="PPNORMALChar"/>
    <w:autoRedefine/>
    <w:rsid w:val="006D62DB"/>
    <w:pPr>
      <w:ind w:left="709"/>
    </w:pPr>
    <w:rPr>
      <w:rFonts w:ascii="Arial" w:hAnsi="Arial" w:cs="Arial"/>
    </w:rPr>
  </w:style>
  <w:style w:type="character" w:customStyle="1" w:styleId="PPNORMALChar">
    <w:name w:val="P&amp;P NORMAL Char"/>
    <w:basedOn w:val="DefaultParagraphFont"/>
    <w:link w:val="PPNORMAL"/>
    <w:rsid w:val="006D62DB"/>
    <w:rPr>
      <w:rFonts w:ascii="Arial" w:hAnsi="Arial" w:cs="Arial"/>
      <w:sz w:val="24"/>
      <w:szCs w:val="24"/>
    </w:rPr>
  </w:style>
  <w:style w:type="paragraph" w:customStyle="1" w:styleId="PPHYPERLINK">
    <w:name w:val="P&amp;P HYPERLINK"/>
    <w:basedOn w:val="HTMLAddress"/>
    <w:autoRedefine/>
    <w:rsid w:val="0001154B"/>
    <w:rPr>
      <w:rFonts w:ascii="Arial" w:hAnsi="Arial" w:cs="Arial"/>
      <w:i w:val="0"/>
    </w:rPr>
  </w:style>
  <w:style w:type="paragraph" w:customStyle="1" w:styleId="PPHEADING1">
    <w:name w:val="P&amp;P HEADING 1"/>
    <w:basedOn w:val="Heading1"/>
    <w:autoRedefine/>
    <w:rsid w:val="00284A99"/>
    <w:rPr>
      <w:sz w:val="24"/>
    </w:rPr>
  </w:style>
  <w:style w:type="paragraph" w:styleId="HTMLAddress">
    <w:name w:val="HTML Address"/>
    <w:basedOn w:val="Normal"/>
    <w:rsid w:val="00E33959"/>
    <w:rPr>
      <w:i/>
      <w:iCs/>
    </w:rPr>
  </w:style>
  <w:style w:type="paragraph" w:customStyle="1" w:styleId="PPTABLERIGHTCOLUMN">
    <w:name w:val="P&amp;P TABLE RIGHT COLUMN"/>
    <w:basedOn w:val="Normal"/>
    <w:autoRedefine/>
    <w:rsid w:val="00A05827"/>
    <w:rPr>
      <w:rFonts w:ascii="Arial" w:hAnsi="Arial" w:cs="Arial"/>
      <w:b/>
      <w:sz w:val="22"/>
      <w:szCs w:val="22"/>
    </w:rPr>
  </w:style>
  <w:style w:type="character" w:customStyle="1" w:styleId="PPNormalBold">
    <w:name w:val="P&amp;P Normal Bold"/>
    <w:basedOn w:val="DefaultParagraphFont"/>
    <w:rsid w:val="00166712"/>
    <w:rPr>
      <w:rFonts w:ascii="Arial" w:hAnsi="Arial"/>
      <w:b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6E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6EC8"/>
  </w:style>
  <w:style w:type="character" w:styleId="FootnoteReference">
    <w:name w:val="footnote reference"/>
    <w:basedOn w:val="DefaultParagraphFont"/>
    <w:uiPriority w:val="99"/>
    <w:semiHidden/>
    <w:unhideWhenUsed/>
    <w:rsid w:val="000C6EC8"/>
    <w:rPr>
      <w:vertAlign w:val="superscript"/>
    </w:rPr>
  </w:style>
  <w:style w:type="paragraph" w:customStyle="1" w:styleId="Capire-bodycopy">
    <w:name w:val="Capire - body copy"/>
    <w:link w:val="Capire-bodycopyChar"/>
    <w:qFormat/>
    <w:rsid w:val="004C5172"/>
    <w:pPr>
      <w:spacing w:before="60" w:after="120" w:line="280" w:lineRule="atLeast"/>
    </w:pPr>
    <w:rPr>
      <w:rFonts w:ascii="Calibri" w:hAnsi="Calibri"/>
      <w:bCs/>
      <w:iCs/>
    </w:rPr>
  </w:style>
  <w:style w:type="character" w:customStyle="1" w:styleId="Capire-bodycopyChar">
    <w:name w:val="Capire - body copy Char"/>
    <w:link w:val="Capire-bodycopy"/>
    <w:rsid w:val="004C5172"/>
    <w:rPr>
      <w:rFonts w:ascii="Calibri" w:hAnsi="Calibri"/>
      <w:bCs/>
      <w:iCs/>
    </w:rPr>
  </w:style>
  <w:style w:type="paragraph" w:styleId="ListParagraph">
    <w:name w:val="List Paragraph"/>
    <w:basedOn w:val="Normal"/>
    <w:uiPriority w:val="34"/>
    <w:qFormat/>
    <w:rsid w:val="002E5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47242-2AA1-450F-8704-B87771F51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777</Words>
  <Characters>4274</Characters>
  <Application>Microsoft Office Word</Application>
  <DocSecurity>0</DocSecurity>
  <Lines>129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Shire of Yarra Ranges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keanes</dc:creator>
  <cp:lastModifiedBy>scotti</cp:lastModifiedBy>
  <cp:revision>7</cp:revision>
  <cp:lastPrinted>2013-03-12T21:34:00Z</cp:lastPrinted>
  <dcterms:created xsi:type="dcterms:W3CDTF">2013-03-12T21:33:00Z</dcterms:created>
  <dcterms:modified xsi:type="dcterms:W3CDTF">2013-07-07T23:56:00Z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